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F2351" w14:textId="5D280347" w:rsidR="00F9628A" w:rsidRPr="00F9628A" w:rsidRDefault="00F9628A" w:rsidP="007C2076">
      <w:pPr>
        <w:adjustRightInd w:val="0"/>
        <w:snapToGrid w:val="0"/>
        <w:spacing w:before="100" w:beforeAutospacing="1" w:after="100" w:afterAutospacing="1" w:line="360" w:lineRule="auto"/>
        <w:contextualSpacing/>
        <w:jc w:val="center"/>
        <w:rPr>
          <w:rFonts w:ascii="宋体" w:eastAsia="宋体" w:hAnsi="宋体" w:cs="Times New Roman"/>
          <w:sz w:val="44"/>
          <w:szCs w:val="44"/>
        </w:rPr>
      </w:pPr>
      <w:r w:rsidRPr="00F9628A">
        <w:rPr>
          <w:rFonts w:ascii="宋体" w:eastAsia="宋体" w:hAnsi="宋体" w:cs="Times New Roman" w:hint="eastAsia"/>
          <w:sz w:val="44"/>
          <w:szCs w:val="44"/>
        </w:rPr>
        <w:t>特载</w:t>
      </w:r>
    </w:p>
    <w:p w14:paraId="5F606888" w14:textId="77777777" w:rsidR="00F9628A" w:rsidRDefault="00F9628A" w:rsidP="007C2076">
      <w:pPr>
        <w:adjustRightInd w:val="0"/>
        <w:snapToGrid w:val="0"/>
        <w:spacing w:before="100" w:beforeAutospacing="1" w:after="100" w:afterAutospacing="1" w:line="360" w:lineRule="auto"/>
        <w:contextualSpacing/>
        <w:jc w:val="center"/>
        <w:rPr>
          <w:rFonts w:ascii="宋体" w:eastAsia="宋体" w:hAnsi="宋体" w:cs="Times New Roman"/>
          <w:sz w:val="32"/>
          <w:szCs w:val="32"/>
        </w:rPr>
      </w:pPr>
    </w:p>
    <w:p w14:paraId="1104A448" w14:textId="77777777" w:rsidR="00F9628A" w:rsidRDefault="00F9628A" w:rsidP="007C2076">
      <w:pPr>
        <w:adjustRightInd w:val="0"/>
        <w:snapToGrid w:val="0"/>
        <w:spacing w:before="100" w:beforeAutospacing="1" w:after="100" w:afterAutospacing="1" w:line="360" w:lineRule="auto"/>
        <w:contextualSpacing/>
        <w:jc w:val="center"/>
        <w:rPr>
          <w:rFonts w:ascii="宋体" w:eastAsia="宋体" w:hAnsi="宋体" w:cs="Times New Roman"/>
          <w:sz w:val="32"/>
          <w:szCs w:val="32"/>
        </w:rPr>
      </w:pPr>
    </w:p>
    <w:p w14:paraId="13679760" w14:textId="77777777" w:rsidR="00F9628A" w:rsidRDefault="00F9628A" w:rsidP="007C2076">
      <w:pPr>
        <w:adjustRightInd w:val="0"/>
        <w:snapToGrid w:val="0"/>
        <w:spacing w:before="100" w:beforeAutospacing="1" w:after="100" w:afterAutospacing="1" w:line="360" w:lineRule="auto"/>
        <w:contextualSpacing/>
        <w:jc w:val="center"/>
        <w:rPr>
          <w:rFonts w:ascii="宋体" w:eastAsia="宋体" w:hAnsi="宋体" w:cs="Times New Roman"/>
          <w:sz w:val="32"/>
          <w:szCs w:val="32"/>
        </w:rPr>
      </w:pPr>
    </w:p>
    <w:p w14:paraId="0F5D591D" w14:textId="1B45C520" w:rsidR="00532AC9" w:rsidRPr="00485A43" w:rsidRDefault="00F40FD3" w:rsidP="007C2076">
      <w:pPr>
        <w:adjustRightInd w:val="0"/>
        <w:snapToGrid w:val="0"/>
        <w:spacing w:before="100" w:beforeAutospacing="1" w:after="100" w:afterAutospacing="1" w:line="360" w:lineRule="auto"/>
        <w:contextualSpacing/>
        <w:jc w:val="center"/>
        <w:rPr>
          <w:rFonts w:ascii="宋体" w:eastAsia="宋体" w:hAnsi="宋体" w:cs="Times New Roman"/>
          <w:sz w:val="32"/>
          <w:szCs w:val="32"/>
        </w:rPr>
      </w:pPr>
      <w:r w:rsidRPr="00485A43">
        <w:rPr>
          <w:rFonts w:ascii="宋体" w:eastAsia="宋体" w:hAnsi="宋体" w:cs="Times New Roman"/>
          <w:sz w:val="32"/>
          <w:szCs w:val="32"/>
        </w:rPr>
        <w:t>大国博弈下的</w:t>
      </w:r>
      <w:r w:rsidR="00D62B23" w:rsidRPr="00485A43">
        <w:rPr>
          <w:rFonts w:ascii="宋体" w:eastAsia="宋体" w:hAnsi="宋体" w:cs="Times New Roman"/>
          <w:sz w:val="32"/>
          <w:szCs w:val="32"/>
        </w:rPr>
        <w:t>中国</w:t>
      </w:r>
      <w:r w:rsidRPr="00485A43">
        <w:rPr>
          <w:rFonts w:ascii="宋体" w:eastAsia="宋体" w:hAnsi="宋体" w:cs="Times New Roman"/>
          <w:sz w:val="32"/>
          <w:szCs w:val="32"/>
        </w:rPr>
        <w:t>金融发展</w:t>
      </w:r>
      <w:r w:rsidR="00F9628A">
        <w:rPr>
          <w:rStyle w:val="ab"/>
          <w:rFonts w:ascii="宋体" w:eastAsia="宋体" w:hAnsi="宋体" w:cs="Times New Roman" w:hint="eastAsia"/>
          <w:sz w:val="32"/>
          <w:szCs w:val="32"/>
        </w:rPr>
        <w:footnoteReference w:id="1"/>
      </w:r>
    </w:p>
    <w:p w14:paraId="6BC14189" w14:textId="17F0EE1F" w:rsidR="001919BF" w:rsidRPr="00DD2586" w:rsidRDefault="000671DD" w:rsidP="00DD2586">
      <w:pPr>
        <w:spacing w:line="720" w:lineRule="auto"/>
        <w:jc w:val="center"/>
        <w:rPr>
          <w:rFonts w:ascii="Times New Roman" w:eastAsia="楷体" w:hAnsi="Times New Roman" w:cs="Times New Roman"/>
          <w:sz w:val="24"/>
          <w:szCs w:val="24"/>
        </w:rPr>
      </w:pPr>
      <w:proofErr w:type="gramStart"/>
      <w:r>
        <w:rPr>
          <w:rFonts w:ascii="Times New Roman" w:eastAsia="楷体" w:hAnsi="Times New Roman" w:cs="Times New Roman" w:hint="eastAsia"/>
          <w:sz w:val="24"/>
          <w:szCs w:val="24"/>
        </w:rPr>
        <w:t>郑联盛</w:t>
      </w:r>
      <w:proofErr w:type="gramEnd"/>
      <w:r>
        <w:rPr>
          <w:rFonts w:ascii="Times New Roman" w:eastAsia="楷体" w:hAnsi="Times New Roman" w:cs="Times New Roman" w:hint="eastAsia"/>
          <w:sz w:val="24"/>
          <w:szCs w:val="24"/>
        </w:rPr>
        <w:t xml:space="preserve"> </w:t>
      </w:r>
      <w:r>
        <w:rPr>
          <w:rFonts w:ascii="Times New Roman" w:eastAsia="楷体" w:hAnsi="Times New Roman" w:cs="Times New Roman" w:hint="eastAsia"/>
          <w:sz w:val="24"/>
          <w:szCs w:val="24"/>
        </w:rPr>
        <w:t>范云朋</w:t>
      </w:r>
      <w:r>
        <w:rPr>
          <w:rFonts w:ascii="Times New Roman" w:eastAsia="楷体" w:hAnsi="Times New Roman" w:cs="Times New Roman" w:hint="eastAsia"/>
          <w:sz w:val="24"/>
          <w:szCs w:val="24"/>
        </w:rPr>
        <w:t xml:space="preserve"> </w:t>
      </w:r>
      <w:r>
        <w:rPr>
          <w:rFonts w:ascii="Times New Roman" w:eastAsia="楷体" w:hAnsi="Times New Roman" w:cs="Times New Roman" w:hint="eastAsia"/>
          <w:sz w:val="24"/>
          <w:szCs w:val="24"/>
        </w:rPr>
        <w:t>江振龙</w:t>
      </w:r>
      <w:r>
        <w:rPr>
          <w:rFonts w:ascii="Times New Roman" w:eastAsia="楷体" w:hAnsi="Times New Roman" w:cs="Times New Roman" w:hint="eastAsia"/>
          <w:sz w:val="24"/>
          <w:szCs w:val="24"/>
        </w:rPr>
        <w:t xml:space="preserve"> </w:t>
      </w:r>
      <w:r>
        <w:rPr>
          <w:rFonts w:ascii="Times New Roman" w:eastAsia="楷体" w:hAnsi="Times New Roman" w:cs="Times New Roman" w:hint="eastAsia"/>
          <w:sz w:val="24"/>
          <w:szCs w:val="24"/>
        </w:rPr>
        <w:t>王瑶</w:t>
      </w:r>
      <w:r>
        <w:rPr>
          <w:rFonts w:ascii="Times New Roman" w:eastAsia="楷体" w:hAnsi="Times New Roman" w:cs="Times New Roman" w:hint="eastAsia"/>
          <w:sz w:val="24"/>
          <w:szCs w:val="24"/>
        </w:rPr>
        <w:t xml:space="preserve"> </w:t>
      </w:r>
      <w:r>
        <w:rPr>
          <w:rFonts w:ascii="Times New Roman" w:eastAsia="楷体" w:hAnsi="Times New Roman" w:cs="Times New Roman" w:hint="eastAsia"/>
          <w:sz w:val="24"/>
          <w:szCs w:val="24"/>
        </w:rPr>
        <w:t>张鹏</w:t>
      </w:r>
      <w:r w:rsidR="00F9628A">
        <w:rPr>
          <w:rStyle w:val="ab"/>
          <w:rFonts w:ascii="Times New Roman" w:eastAsia="楷体" w:hAnsi="Times New Roman" w:cs="Times New Roman"/>
          <w:sz w:val="24"/>
          <w:szCs w:val="24"/>
        </w:rPr>
        <w:footnoteReference w:id="2"/>
      </w:r>
    </w:p>
    <w:p w14:paraId="0B306CEE" w14:textId="04171273" w:rsidR="00532AC9" w:rsidRPr="00173C3E" w:rsidRDefault="00622BEF"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bookmarkStart w:id="0" w:name="_GoBack"/>
      <w:r w:rsidRPr="00173C3E">
        <w:rPr>
          <w:rFonts w:ascii="Times New Roman" w:eastAsia="宋体" w:hAnsi="Times New Roman" w:cs="Times New Roman"/>
          <w:sz w:val="24"/>
          <w:szCs w:val="24"/>
        </w:rPr>
        <w:t>国际货币金融体系面临新的不确定性。特朗普新政府可能出台对内减税与对外加税、鼓励发展加密资产、放松金融监管以及弱化现有国际</w:t>
      </w:r>
      <w:r w:rsidR="001435EC" w:rsidRPr="00173C3E">
        <w:rPr>
          <w:rFonts w:ascii="Times New Roman" w:eastAsia="宋体" w:hAnsi="Times New Roman" w:cs="Times New Roman"/>
          <w:sz w:val="24"/>
          <w:szCs w:val="24"/>
        </w:rPr>
        <w:t>金融</w:t>
      </w:r>
      <w:r w:rsidRPr="00173C3E">
        <w:rPr>
          <w:rFonts w:ascii="Times New Roman" w:eastAsia="宋体" w:hAnsi="Times New Roman" w:cs="Times New Roman"/>
          <w:sz w:val="24"/>
          <w:szCs w:val="24"/>
        </w:rPr>
        <w:t>治理</w:t>
      </w:r>
      <w:r w:rsidR="00257591" w:rsidRPr="00173C3E">
        <w:rPr>
          <w:rFonts w:ascii="Times New Roman" w:eastAsia="宋体" w:hAnsi="Times New Roman" w:cs="Times New Roman"/>
          <w:sz w:val="24"/>
          <w:szCs w:val="24"/>
        </w:rPr>
        <w:t>秩序，给包括中国在内的世界经济和国际货币</w:t>
      </w:r>
      <w:r w:rsidR="003D79D6">
        <w:rPr>
          <w:rFonts w:ascii="Times New Roman" w:eastAsia="宋体" w:hAnsi="Times New Roman" w:cs="Times New Roman" w:hint="eastAsia"/>
          <w:sz w:val="24"/>
          <w:szCs w:val="24"/>
        </w:rPr>
        <w:t>金融</w:t>
      </w:r>
      <w:r w:rsidR="00257591" w:rsidRPr="00173C3E">
        <w:rPr>
          <w:rFonts w:ascii="Times New Roman" w:eastAsia="宋体" w:hAnsi="Times New Roman" w:cs="Times New Roman"/>
          <w:sz w:val="24"/>
          <w:szCs w:val="24"/>
        </w:rPr>
        <w:t>体系带来新的冲击。</w:t>
      </w:r>
      <w:r w:rsidR="00B71ED6" w:rsidRPr="00173C3E">
        <w:rPr>
          <w:rFonts w:ascii="Times New Roman" w:eastAsia="宋体" w:hAnsi="Times New Roman" w:cs="Times New Roman"/>
          <w:sz w:val="24"/>
          <w:szCs w:val="24"/>
        </w:rPr>
        <w:t>金融是大国博弈的重点领域，而</w:t>
      </w:r>
      <w:r w:rsidR="00257591" w:rsidRPr="00173C3E">
        <w:rPr>
          <w:rFonts w:ascii="Times New Roman" w:eastAsia="宋体" w:hAnsi="Times New Roman" w:cs="Times New Roman"/>
          <w:sz w:val="24"/>
          <w:szCs w:val="24"/>
        </w:rPr>
        <w:t>金融基础设施</w:t>
      </w:r>
      <w:r w:rsidR="00326AB0" w:rsidRPr="00173C3E">
        <w:rPr>
          <w:rFonts w:ascii="Times New Roman" w:eastAsia="宋体" w:hAnsi="Times New Roman" w:cs="Times New Roman"/>
          <w:sz w:val="24"/>
          <w:szCs w:val="24"/>
        </w:rPr>
        <w:t>建设</w:t>
      </w:r>
      <w:r w:rsidR="00257591" w:rsidRPr="00173C3E">
        <w:rPr>
          <w:rFonts w:ascii="Times New Roman" w:eastAsia="宋体" w:hAnsi="Times New Roman" w:cs="Times New Roman"/>
          <w:sz w:val="24"/>
          <w:szCs w:val="24"/>
        </w:rPr>
        <w:t>、</w:t>
      </w:r>
      <w:r w:rsidR="008E4E11" w:rsidRPr="00173C3E">
        <w:rPr>
          <w:rFonts w:ascii="Times New Roman" w:eastAsia="宋体" w:hAnsi="Times New Roman" w:cs="Times New Roman"/>
          <w:sz w:val="24"/>
          <w:szCs w:val="24"/>
        </w:rPr>
        <w:t>资本市场壮大、全球资产布局</w:t>
      </w:r>
      <w:r w:rsidR="00257591" w:rsidRPr="00173C3E">
        <w:rPr>
          <w:rFonts w:ascii="Times New Roman" w:eastAsia="宋体" w:hAnsi="Times New Roman" w:cs="Times New Roman"/>
          <w:sz w:val="24"/>
          <w:szCs w:val="24"/>
        </w:rPr>
        <w:t>以及</w:t>
      </w:r>
      <w:r w:rsidR="00340F8A" w:rsidRPr="00173C3E">
        <w:rPr>
          <w:rFonts w:ascii="Times New Roman" w:eastAsia="宋体" w:hAnsi="Times New Roman" w:cs="Times New Roman"/>
          <w:sz w:val="24"/>
          <w:szCs w:val="24"/>
        </w:rPr>
        <w:t>数字金融</w:t>
      </w:r>
      <w:r w:rsidR="00B71ED6" w:rsidRPr="00173C3E">
        <w:rPr>
          <w:rFonts w:ascii="Times New Roman" w:eastAsia="宋体" w:hAnsi="Times New Roman" w:cs="Times New Roman"/>
          <w:sz w:val="24"/>
          <w:szCs w:val="24"/>
        </w:rPr>
        <w:t>新赛道</w:t>
      </w:r>
      <w:r w:rsidR="00257591" w:rsidRPr="00173C3E">
        <w:rPr>
          <w:rFonts w:ascii="Times New Roman" w:eastAsia="宋体" w:hAnsi="Times New Roman" w:cs="Times New Roman"/>
          <w:sz w:val="24"/>
          <w:szCs w:val="24"/>
        </w:rPr>
        <w:t>等是大国金融博弈的重点，也是中国金融发展</w:t>
      </w:r>
      <w:r w:rsidR="00D434D2" w:rsidRPr="00173C3E">
        <w:rPr>
          <w:rFonts w:ascii="Times New Roman" w:eastAsia="宋体" w:hAnsi="Times New Roman" w:cs="Times New Roman"/>
          <w:sz w:val="24"/>
          <w:szCs w:val="24"/>
        </w:rPr>
        <w:t>亟需</w:t>
      </w:r>
      <w:r w:rsidR="00257591" w:rsidRPr="00173C3E">
        <w:rPr>
          <w:rFonts w:ascii="Times New Roman" w:eastAsia="宋体" w:hAnsi="Times New Roman" w:cs="Times New Roman"/>
          <w:sz w:val="24"/>
          <w:szCs w:val="24"/>
        </w:rPr>
        <w:t>着重提升的领域</w:t>
      </w:r>
      <w:r w:rsidRPr="00173C3E">
        <w:rPr>
          <w:rFonts w:ascii="Times New Roman" w:eastAsia="宋体" w:hAnsi="Times New Roman" w:cs="Times New Roman"/>
          <w:sz w:val="24"/>
          <w:szCs w:val="24"/>
        </w:rPr>
        <w:t>。</w:t>
      </w:r>
      <w:r w:rsidRPr="00FF56E3">
        <w:rPr>
          <w:rFonts w:ascii="宋体" w:eastAsia="宋体" w:hAnsi="宋体" w:cs="Times New Roman"/>
          <w:sz w:val="24"/>
          <w:szCs w:val="24"/>
        </w:rPr>
        <w:t>“十五五”</w:t>
      </w:r>
      <w:r w:rsidRPr="00173C3E">
        <w:rPr>
          <w:rFonts w:ascii="Times New Roman" w:eastAsia="宋体" w:hAnsi="Times New Roman" w:cs="Times New Roman"/>
          <w:sz w:val="24"/>
          <w:szCs w:val="24"/>
        </w:rPr>
        <w:t>时期，中国金融</w:t>
      </w:r>
      <w:r w:rsidR="00257591" w:rsidRPr="00173C3E">
        <w:rPr>
          <w:rFonts w:ascii="Times New Roman" w:eastAsia="宋体" w:hAnsi="Times New Roman" w:cs="Times New Roman"/>
          <w:sz w:val="24"/>
          <w:szCs w:val="24"/>
        </w:rPr>
        <w:t>强国建设</w:t>
      </w:r>
      <w:r w:rsidRPr="00173C3E">
        <w:rPr>
          <w:rFonts w:ascii="Times New Roman" w:eastAsia="宋体" w:hAnsi="Times New Roman" w:cs="Times New Roman"/>
          <w:sz w:val="24"/>
          <w:szCs w:val="24"/>
        </w:rPr>
        <w:t>要充分考虑外部形势的潜在影响，以</w:t>
      </w:r>
      <w:r w:rsidR="008E4E11" w:rsidRPr="00173C3E">
        <w:rPr>
          <w:rFonts w:ascii="Times New Roman" w:eastAsia="宋体" w:hAnsi="Times New Roman" w:cs="Times New Roman"/>
          <w:sz w:val="24"/>
          <w:szCs w:val="24"/>
        </w:rPr>
        <w:t>我为主，内外统筹，</w:t>
      </w:r>
      <w:r w:rsidRPr="00173C3E">
        <w:rPr>
          <w:rFonts w:ascii="Times New Roman" w:eastAsia="宋体" w:hAnsi="Times New Roman" w:cs="Times New Roman"/>
          <w:sz w:val="24"/>
          <w:szCs w:val="24"/>
        </w:rPr>
        <w:t>致力于</w:t>
      </w:r>
      <w:r w:rsidR="00257591" w:rsidRPr="00173C3E">
        <w:rPr>
          <w:rFonts w:ascii="Times New Roman" w:eastAsia="宋体" w:hAnsi="Times New Roman" w:cs="Times New Roman"/>
          <w:sz w:val="24"/>
          <w:szCs w:val="24"/>
        </w:rPr>
        <w:t>完善金融基础设施</w:t>
      </w:r>
      <w:r w:rsidRPr="00173C3E">
        <w:rPr>
          <w:rFonts w:ascii="Times New Roman" w:eastAsia="宋体" w:hAnsi="Times New Roman" w:cs="Times New Roman"/>
          <w:sz w:val="24"/>
          <w:szCs w:val="24"/>
        </w:rPr>
        <w:t>，</w:t>
      </w:r>
      <w:r w:rsidR="008E4E11" w:rsidRPr="00173C3E">
        <w:rPr>
          <w:rFonts w:ascii="Times New Roman" w:eastAsia="宋体" w:hAnsi="Times New Roman" w:cs="Times New Roman"/>
          <w:sz w:val="24"/>
          <w:szCs w:val="24"/>
        </w:rPr>
        <w:t>加快建设强大资本市场，</w:t>
      </w:r>
      <w:r w:rsidR="003D79D6">
        <w:rPr>
          <w:rFonts w:ascii="Times New Roman" w:eastAsia="宋体" w:hAnsi="Times New Roman" w:cs="Times New Roman"/>
          <w:sz w:val="24"/>
          <w:szCs w:val="24"/>
        </w:rPr>
        <w:t>优化全球</w:t>
      </w:r>
      <w:r w:rsidR="00257591" w:rsidRPr="00173C3E">
        <w:rPr>
          <w:rFonts w:ascii="Times New Roman" w:eastAsia="宋体" w:hAnsi="Times New Roman" w:cs="Times New Roman"/>
          <w:sz w:val="24"/>
          <w:szCs w:val="24"/>
        </w:rPr>
        <w:t>资产布局</w:t>
      </w:r>
      <w:r w:rsidRPr="00173C3E">
        <w:rPr>
          <w:rFonts w:ascii="Times New Roman" w:eastAsia="宋体" w:hAnsi="Times New Roman" w:cs="Times New Roman"/>
          <w:sz w:val="24"/>
          <w:szCs w:val="24"/>
        </w:rPr>
        <w:t>，</w:t>
      </w:r>
      <w:r w:rsidR="00257591" w:rsidRPr="00173C3E">
        <w:rPr>
          <w:rFonts w:ascii="Times New Roman" w:eastAsia="宋体" w:hAnsi="Times New Roman" w:cs="Times New Roman"/>
          <w:sz w:val="24"/>
          <w:szCs w:val="24"/>
        </w:rPr>
        <w:t>着力提升数字金融竞争力</w:t>
      </w:r>
      <w:r w:rsidRPr="00173C3E">
        <w:rPr>
          <w:rFonts w:ascii="Times New Roman" w:eastAsia="宋体" w:hAnsi="Times New Roman" w:cs="Times New Roman"/>
          <w:sz w:val="24"/>
          <w:szCs w:val="24"/>
        </w:rPr>
        <w:t>。</w:t>
      </w:r>
    </w:p>
    <w:p w14:paraId="7B265AE9" w14:textId="77777777" w:rsidR="005B46D7" w:rsidRPr="00173C3E" w:rsidRDefault="005B46D7" w:rsidP="00AF0AF5">
      <w:pPr>
        <w:adjustRightInd w:val="0"/>
        <w:snapToGrid w:val="0"/>
        <w:spacing w:before="100" w:beforeAutospacing="1" w:after="100" w:afterAutospacing="1" w:line="360" w:lineRule="auto"/>
        <w:ind w:firstLineChars="200" w:firstLine="482"/>
        <w:contextualSpacing/>
        <w:rPr>
          <w:rFonts w:ascii="Times New Roman" w:eastAsia="宋体" w:hAnsi="Times New Roman" w:cs="Times New Roman"/>
          <w:b/>
          <w:bCs/>
          <w:sz w:val="24"/>
          <w:szCs w:val="24"/>
        </w:rPr>
      </w:pPr>
    </w:p>
    <w:p w14:paraId="3E53546D" w14:textId="799F553D" w:rsidR="005B46D7" w:rsidRPr="006126F2" w:rsidRDefault="005B46D7" w:rsidP="00AF0AF5">
      <w:pPr>
        <w:adjustRightInd w:val="0"/>
        <w:snapToGrid w:val="0"/>
        <w:spacing w:before="100" w:beforeAutospacing="1" w:after="100" w:afterAutospacing="1" w:line="360" w:lineRule="auto"/>
        <w:ind w:firstLineChars="200" w:firstLine="562"/>
        <w:contextualSpacing/>
        <w:rPr>
          <w:rFonts w:ascii="宋体" w:eastAsia="宋体" w:hAnsi="宋体" w:cs="Times New Roman"/>
          <w:b/>
          <w:bCs/>
          <w:sz w:val="28"/>
          <w:szCs w:val="28"/>
        </w:rPr>
      </w:pPr>
      <w:r w:rsidRPr="006126F2">
        <w:rPr>
          <w:rFonts w:ascii="宋体" w:eastAsia="宋体" w:hAnsi="宋体" w:cs="Times New Roman"/>
          <w:b/>
          <w:bCs/>
          <w:sz w:val="28"/>
          <w:szCs w:val="28"/>
        </w:rPr>
        <w:t>一、引言</w:t>
      </w:r>
    </w:p>
    <w:p w14:paraId="4468B3D8" w14:textId="69A2C7ED" w:rsidR="0097534F" w:rsidRPr="00175CAA" w:rsidRDefault="00F40FD3"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color w:val="000000" w:themeColor="text1"/>
          <w:sz w:val="24"/>
          <w:szCs w:val="24"/>
        </w:rPr>
      </w:pPr>
      <w:r w:rsidRPr="00175CAA">
        <w:rPr>
          <w:rFonts w:ascii="Times New Roman" w:eastAsia="宋体" w:hAnsi="Times New Roman" w:cs="Times New Roman"/>
          <w:color w:val="000000" w:themeColor="text1"/>
          <w:sz w:val="24"/>
          <w:szCs w:val="24"/>
        </w:rPr>
        <w:t>改革开放以来，中国</w:t>
      </w:r>
      <w:r w:rsidR="00E47013" w:rsidRPr="00175CAA">
        <w:rPr>
          <w:rFonts w:ascii="Times New Roman" w:eastAsia="宋体" w:hAnsi="Times New Roman" w:cs="Times New Roman"/>
          <w:color w:val="000000" w:themeColor="text1"/>
          <w:sz w:val="24"/>
          <w:szCs w:val="24"/>
        </w:rPr>
        <w:t>经济快速发展和社会长期稳定取得了历史性成就，这其中离不开金融</w:t>
      </w:r>
      <w:r w:rsidRPr="00175CAA">
        <w:rPr>
          <w:rFonts w:ascii="Times New Roman" w:eastAsia="宋体" w:hAnsi="Times New Roman" w:cs="Times New Roman"/>
          <w:color w:val="000000" w:themeColor="text1"/>
          <w:sz w:val="24"/>
          <w:szCs w:val="24"/>
        </w:rPr>
        <w:t>的贡献和支撑。</w:t>
      </w:r>
      <w:r w:rsidR="00802082" w:rsidRPr="00175CAA">
        <w:rPr>
          <w:rFonts w:ascii="Times New Roman" w:eastAsia="宋体" w:hAnsi="Times New Roman" w:cs="Times New Roman"/>
          <w:color w:val="000000" w:themeColor="text1"/>
          <w:sz w:val="24"/>
          <w:szCs w:val="24"/>
        </w:rPr>
        <w:t>在</w:t>
      </w:r>
      <w:r w:rsidR="00802082" w:rsidRPr="00175CAA">
        <w:rPr>
          <w:rFonts w:ascii="Times New Roman" w:eastAsia="宋体" w:hAnsi="Times New Roman" w:cs="Times New Roman"/>
          <w:color w:val="000000" w:themeColor="text1"/>
          <w:sz w:val="24"/>
          <w:szCs w:val="24"/>
        </w:rPr>
        <w:t>40</w:t>
      </w:r>
      <w:r w:rsidR="00802082" w:rsidRPr="00175CAA">
        <w:rPr>
          <w:rFonts w:ascii="Times New Roman" w:eastAsia="宋体" w:hAnsi="Times New Roman" w:cs="Times New Roman"/>
          <w:color w:val="000000" w:themeColor="text1"/>
          <w:sz w:val="24"/>
          <w:szCs w:val="24"/>
        </w:rPr>
        <w:t>多年的发展中，中国已经</w:t>
      </w:r>
      <w:r w:rsidRPr="00175CAA">
        <w:rPr>
          <w:rFonts w:ascii="Times New Roman" w:eastAsia="宋体" w:hAnsi="Times New Roman" w:cs="Times New Roman"/>
          <w:color w:val="000000" w:themeColor="text1"/>
          <w:sz w:val="24"/>
          <w:szCs w:val="24"/>
        </w:rPr>
        <w:t>拥有全球第一大银行业、第二大资本市场和第二大保险市场，</w:t>
      </w:r>
      <w:r w:rsidR="00B71ED6" w:rsidRPr="00175CAA">
        <w:rPr>
          <w:rFonts w:ascii="Times New Roman" w:eastAsia="宋体" w:hAnsi="Times New Roman" w:cs="Times New Roman"/>
          <w:color w:val="000000" w:themeColor="text1"/>
          <w:sz w:val="24"/>
          <w:szCs w:val="24"/>
        </w:rPr>
        <w:t>已经</w:t>
      </w:r>
      <w:r w:rsidR="00694BFD" w:rsidRPr="00175CAA">
        <w:rPr>
          <w:rFonts w:ascii="Times New Roman" w:eastAsia="宋体" w:hAnsi="Times New Roman" w:cs="Times New Roman"/>
          <w:color w:val="000000" w:themeColor="text1"/>
          <w:sz w:val="24"/>
          <w:szCs w:val="24"/>
        </w:rPr>
        <w:t>成为了</w:t>
      </w:r>
      <w:r w:rsidR="00953293" w:rsidRPr="00175CAA">
        <w:rPr>
          <w:rFonts w:ascii="Times New Roman" w:eastAsia="宋体" w:hAnsi="Times New Roman" w:cs="Times New Roman"/>
          <w:color w:val="000000" w:themeColor="text1"/>
          <w:sz w:val="24"/>
          <w:szCs w:val="24"/>
        </w:rPr>
        <w:t>全球</w:t>
      </w:r>
      <w:r w:rsidR="00694BFD" w:rsidRPr="00175CAA">
        <w:rPr>
          <w:rFonts w:ascii="Times New Roman" w:eastAsia="宋体" w:hAnsi="Times New Roman" w:cs="Times New Roman"/>
          <w:color w:val="000000" w:themeColor="text1"/>
          <w:sz w:val="24"/>
          <w:szCs w:val="24"/>
        </w:rPr>
        <w:t>金融大国</w:t>
      </w:r>
      <w:r w:rsidR="002C7772" w:rsidRPr="00175CAA">
        <w:rPr>
          <w:rFonts w:ascii="Times New Roman" w:eastAsia="宋体" w:hAnsi="Times New Roman" w:cs="Times New Roman"/>
          <w:color w:val="000000" w:themeColor="text1"/>
          <w:sz w:val="24"/>
          <w:szCs w:val="24"/>
        </w:rPr>
        <w:t>。</w:t>
      </w:r>
      <w:r w:rsidR="00802082" w:rsidRPr="00175CAA">
        <w:rPr>
          <w:rFonts w:ascii="Times New Roman" w:eastAsia="宋体" w:hAnsi="Times New Roman" w:cs="Times New Roman"/>
          <w:color w:val="000000" w:themeColor="text1"/>
          <w:sz w:val="24"/>
          <w:szCs w:val="24"/>
        </w:rPr>
        <w:t>更重要的是，经过数十年的</w:t>
      </w:r>
      <w:r w:rsidR="00953293" w:rsidRPr="00175CAA">
        <w:rPr>
          <w:rFonts w:ascii="Times New Roman" w:eastAsia="宋体" w:hAnsi="Times New Roman" w:cs="Times New Roman"/>
          <w:color w:val="000000" w:themeColor="text1"/>
          <w:sz w:val="24"/>
          <w:szCs w:val="24"/>
        </w:rPr>
        <w:t>不懈探索</w:t>
      </w:r>
      <w:r w:rsidR="00B71ED6" w:rsidRPr="00175CAA">
        <w:rPr>
          <w:rFonts w:ascii="Times New Roman" w:eastAsia="宋体" w:hAnsi="Times New Roman" w:cs="Times New Roman"/>
          <w:color w:val="000000" w:themeColor="text1"/>
          <w:sz w:val="24"/>
          <w:szCs w:val="24"/>
        </w:rPr>
        <w:t>、实践和创新</w:t>
      </w:r>
      <w:r w:rsidR="00953293" w:rsidRPr="00175CAA">
        <w:rPr>
          <w:rFonts w:ascii="Times New Roman" w:eastAsia="宋体" w:hAnsi="Times New Roman" w:cs="Times New Roman"/>
          <w:color w:val="000000" w:themeColor="text1"/>
          <w:sz w:val="24"/>
          <w:szCs w:val="24"/>
        </w:rPr>
        <w:t>，</w:t>
      </w:r>
      <w:r w:rsidRPr="00175CAA">
        <w:rPr>
          <w:rFonts w:ascii="Times New Roman" w:eastAsia="宋体" w:hAnsi="Times New Roman" w:cs="Times New Roman"/>
          <w:color w:val="000000" w:themeColor="text1"/>
          <w:sz w:val="24"/>
          <w:szCs w:val="24"/>
        </w:rPr>
        <w:t>逐步形成了一条中国特色金融发展之路。</w:t>
      </w:r>
      <w:r w:rsidR="003D79D6">
        <w:rPr>
          <w:rFonts w:ascii="Times New Roman" w:eastAsia="宋体" w:hAnsi="Times New Roman" w:cs="Times New Roman"/>
          <w:color w:val="000000" w:themeColor="text1"/>
          <w:sz w:val="24"/>
          <w:szCs w:val="24"/>
        </w:rPr>
        <w:t>当然，我国金融体系总体</w:t>
      </w:r>
      <w:r w:rsidR="00802082" w:rsidRPr="00175CAA">
        <w:rPr>
          <w:rFonts w:ascii="Times New Roman" w:eastAsia="宋体" w:hAnsi="Times New Roman" w:cs="Times New Roman"/>
          <w:color w:val="000000" w:themeColor="text1"/>
          <w:sz w:val="24"/>
          <w:szCs w:val="24"/>
        </w:rPr>
        <w:t>是大而不强，</w:t>
      </w:r>
      <w:r w:rsidR="00B53750" w:rsidRPr="00175CAA">
        <w:rPr>
          <w:rFonts w:ascii="Times New Roman" w:eastAsia="宋体" w:hAnsi="Times New Roman" w:cs="Times New Roman"/>
          <w:color w:val="000000" w:themeColor="text1"/>
          <w:sz w:val="24"/>
          <w:szCs w:val="24"/>
        </w:rPr>
        <w:t>仍</w:t>
      </w:r>
      <w:r w:rsidR="00802082" w:rsidRPr="00175CAA">
        <w:rPr>
          <w:rFonts w:ascii="Times New Roman" w:eastAsia="宋体" w:hAnsi="Times New Roman" w:cs="Times New Roman"/>
          <w:color w:val="000000" w:themeColor="text1"/>
          <w:sz w:val="24"/>
          <w:szCs w:val="24"/>
        </w:rPr>
        <w:t>存在不少问题，金融服务实体经济的质效不高，国际竞争力有待提升，</w:t>
      </w:r>
      <w:proofErr w:type="gramStart"/>
      <w:r w:rsidR="00802082" w:rsidRPr="00175CAA">
        <w:rPr>
          <w:rFonts w:ascii="Times New Roman" w:eastAsia="宋体" w:hAnsi="Times New Roman" w:cs="Times New Roman"/>
          <w:color w:val="000000" w:themeColor="text1"/>
          <w:sz w:val="24"/>
          <w:szCs w:val="24"/>
        </w:rPr>
        <w:t>离金融</w:t>
      </w:r>
      <w:proofErr w:type="gramEnd"/>
      <w:r w:rsidR="00802082" w:rsidRPr="00175CAA">
        <w:rPr>
          <w:rFonts w:ascii="Times New Roman" w:eastAsia="宋体" w:hAnsi="Times New Roman" w:cs="Times New Roman"/>
          <w:color w:val="000000" w:themeColor="text1"/>
          <w:sz w:val="24"/>
          <w:szCs w:val="24"/>
        </w:rPr>
        <w:t>强国仍有</w:t>
      </w:r>
      <w:r w:rsidR="00AA79C8">
        <w:rPr>
          <w:rFonts w:ascii="Times New Roman" w:eastAsia="宋体" w:hAnsi="Times New Roman" w:cs="Times New Roman" w:hint="eastAsia"/>
          <w:color w:val="000000" w:themeColor="text1"/>
          <w:sz w:val="24"/>
          <w:szCs w:val="24"/>
        </w:rPr>
        <w:t>较大</w:t>
      </w:r>
      <w:r w:rsidR="00802082" w:rsidRPr="00175CAA">
        <w:rPr>
          <w:rFonts w:ascii="Times New Roman" w:eastAsia="宋体" w:hAnsi="Times New Roman" w:cs="Times New Roman"/>
          <w:color w:val="000000" w:themeColor="text1"/>
          <w:sz w:val="24"/>
          <w:szCs w:val="24"/>
        </w:rPr>
        <w:t>差距。当前和未来一段时间，推进中国式现代化是最大的政治，金融必须承载更重要的</w:t>
      </w:r>
      <w:r w:rsidR="00A830B0">
        <w:rPr>
          <w:rFonts w:ascii="Times New Roman" w:eastAsia="宋体" w:hAnsi="Times New Roman" w:cs="Times New Roman" w:hint="eastAsia"/>
          <w:color w:val="000000" w:themeColor="text1"/>
          <w:sz w:val="24"/>
          <w:szCs w:val="24"/>
        </w:rPr>
        <w:t>使命</w:t>
      </w:r>
      <w:r w:rsidR="00802082" w:rsidRPr="00175CAA">
        <w:rPr>
          <w:rFonts w:ascii="Times New Roman" w:eastAsia="宋体" w:hAnsi="Times New Roman" w:cs="Times New Roman" w:hint="eastAsia"/>
          <w:color w:val="000000" w:themeColor="text1"/>
          <w:sz w:val="24"/>
          <w:szCs w:val="24"/>
        </w:rPr>
        <w:t>担</w:t>
      </w:r>
      <w:r w:rsidR="00802082" w:rsidRPr="00175CAA">
        <w:rPr>
          <w:rFonts w:ascii="Times New Roman" w:eastAsia="宋体" w:hAnsi="Times New Roman" w:cs="Times New Roman"/>
          <w:color w:val="000000" w:themeColor="text1"/>
          <w:sz w:val="24"/>
          <w:szCs w:val="24"/>
        </w:rPr>
        <w:t>当</w:t>
      </w:r>
      <w:r w:rsidR="0001708B" w:rsidRPr="00175CAA">
        <w:rPr>
          <w:rFonts w:ascii="Times New Roman" w:eastAsia="宋体" w:hAnsi="Times New Roman" w:cs="Times New Roman"/>
          <w:color w:val="000000" w:themeColor="text1"/>
          <w:sz w:val="24"/>
          <w:szCs w:val="24"/>
          <w:shd w:val="clear" w:color="auto" w:fill="FFFFFF"/>
        </w:rPr>
        <w:t>。</w:t>
      </w:r>
    </w:p>
    <w:p w14:paraId="7FC848E5" w14:textId="4DD4F0F0" w:rsidR="00532AC9" w:rsidRPr="00173C3E" w:rsidRDefault="00953293"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sidRPr="000312C0">
        <w:rPr>
          <w:rFonts w:ascii="Times New Roman" w:eastAsia="宋体" w:hAnsi="Times New Roman" w:cs="Times New Roman"/>
          <w:color w:val="000000" w:themeColor="text1"/>
          <w:sz w:val="24"/>
          <w:szCs w:val="24"/>
        </w:rPr>
        <w:lastRenderedPageBreak/>
        <w:t>国家兴衰，金融有责。</w:t>
      </w:r>
      <w:r w:rsidR="0001708B" w:rsidRPr="000312C0">
        <w:rPr>
          <w:rFonts w:ascii="Times New Roman" w:eastAsia="宋体" w:hAnsi="Times New Roman" w:cs="Times New Roman"/>
          <w:color w:val="000000" w:themeColor="text1"/>
          <w:sz w:val="24"/>
          <w:szCs w:val="24"/>
        </w:rPr>
        <w:t>习近平总书记</w:t>
      </w:r>
      <w:r w:rsidR="009C66E6" w:rsidRPr="000312C0">
        <w:rPr>
          <w:rFonts w:ascii="Times New Roman" w:eastAsia="宋体" w:hAnsi="Times New Roman" w:cs="Times New Roman"/>
          <w:color w:val="000000" w:themeColor="text1"/>
          <w:sz w:val="24"/>
          <w:szCs w:val="24"/>
        </w:rPr>
        <w:t>强调</w:t>
      </w:r>
      <w:r w:rsidR="0001708B" w:rsidRPr="000312C0">
        <w:rPr>
          <w:rFonts w:ascii="Times New Roman" w:eastAsia="宋体" w:hAnsi="Times New Roman" w:cs="Times New Roman"/>
          <w:color w:val="000000" w:themeColor="text1"/>
          <w:sz w:val="24"/>
          <w:szCs w:val="24"/>
        </w:rPr>
        <w:t>金融强国需要具备一系列核心关键金融要素</w:t>
      </w:r>
      <w:r w:rsidR="0001708B" w:rsidRPr="009B1B8D">
        <w:rPr>
          <w:rFonts w:ascii="Times New Roman" w:eastAsia="宋体" w:hAnsi="Times New Roman" w:cs="Times New Roman"/>
          <w:color w:val="000000" w:themeColor="text1"/>
          <w:sz w:val="24"/>
          <w:szCs w:val="24"/>
          <w:vertAlign w:val="superscript"/>
        </w:rPr>
        <w:footnoteReference w:id="3"/>
      </w:r>
      <w:r w:rsidR="0001708B" w:rsidRPr="007B6EE4">
        <w:rPr>
          <w:rFonts w:ascii="Times New Roman" w:eastAsia="宋体" w:hAnsi="Times New Roman" w:cs="Times New Roman"/>
          <w:color w:val="000000" w:themeColor="text1"/>
          <w:sz w:val="24"/>
          <w:szCs w:val="24"/>
        </w:rPr>
        <w:t>，</w:t>
      </w:r>
      <w:r w:rsidR="003D79D6">
        <w:rPr>
          <w:rFonts w:ascii="Times New Roman" w:eastAsia="宋体" w:hAnsi="Times New Roman" w:cs="Times New Roman"/>
          <w:color w:val="000000" w:themeColor="text1"/>
          <w:sz w:val="24"/>
          <w:szCs w:val="24"/>
        </w:rPr>
        <w:t>同时金融强国建设是一个长期工程，</w:t>
      </w:r>
      <w:r w:rsidR="009C66E6" w:rsidRPr="007B6EE4">
        <w:rPr>
          <w:rFonts w:ascii="Times New Roman" w:eastAsia="宋体" w:hAnsi="Times New Roman" w:cs="Times New Roman"/>
          <w:color w:val="000000" w:themeColor="text1"/>
          <w:sz w:val="24"/>
          <w:szCs w:val="24"/>
        </w:rPr>
        <w:t>要久久为功、</w:t>
      </w:r>
      <w:r w:rsidR="003D79D6">
        <w:rPr>
          <w:rFonts w:ascii="Times New Roman" w:eastAsia="宋体" w:hAnsi="Times New Roman" w:cs="Times New Roman" w:hint="eastAsia"/>
          <w:color w:val="000000" w:themeColor="text1"/>
          <w:sz w:val="24"/>
          <w:szCs w:val="24"/>
        </w:rPr>
        <w:t>稳步推进、分步实施</w:t>
      </w:r>
      <w:r w:rsidR="009C66E6" w:rsidRPr="007B6EE4">
        <w:rPr>
          <w:rFonts w:ascii="Times New Roman" w:eastAsia="宋体" w:hAnsi="Times New Roman" w:cs="Times New Roman"/>
          <w:color w:val="000000" w:themeColor="text1"/>
          <w:sz w:val="24"/>
          <w:szCs w:val="24"/>
        </w:rPr>
        <w:t>，这</w:t>
      </w:r>
      <w:r w:rsidR="0001708B" w:rsidRPr="007B6EE4">
        <w:rPr>
          <w:rFonts w:ascii="Times New Roman" w:eastAsia="宋体" w:hAnsi="Times New Roman" w:cs="Times New Roman"/>
          <w:color w:val="000000" w:themeColor="text1"/>
          <w:sz w:val="24"/>
          <w:szCs w:val="24"/>
        </w:rPr>
        <w:t>为我国</w:t>
      </w:r>
      <w:r w:rsidR="009C66E6" w:rsidRPr="007B6EE4">
        <w:rPr>
          <w:rFonts w:ascii="Times New Roman" w:eastAsia="宋体" w:hAnsi="Times New Roman" w:cs="Times New Roman"/>
          <w:color w:val="000000" w:themeColor="text1"/>
          <w:sz w:val="24"/>
          <w:szCs w:val="24"/>
        </w:rPr>
        <w:t>金融强国建设</w:t>
      </w:r>
      <w:r w:rsidR="0001708B" w:rsidRPr="007B6EE4">
        <w:rPr>
          <w:rFonts w:ascii="Times New Roman" w:eastAsia="宋体" w:hAnsi="Times New Roman" w:cs="Times New Roman"/>
          <w:color w:val="000000" w:themeColor="text1"/>
          <w:sz w:val="24"/>
          <w:szCs w:val="24"/>
        </w:rPr>
        <w:t>提出了</w:t>
      </w:r>
      <w:r w:rsidR="009C66E6" w:rsidRPr="007B6EE4">
        <w:rPr>
          <w:rFonts w:ascii="Times New Roman" w:eastAsia="宋体" w:hAnsi="Times New Roman" w:cs="Times New Roman"/>
          <w:color w:val="000000" w:themeColor="text1"/>
          <w:sz w:val="24"/>
          <w:szCs w:val="24"/>
        </w:rPr>
        <w:t>目标</w:t>
      </w:r>
      <w:r w:rsidR="00E328DB">
        <w:rPr>
          <w:rFonts w:ascii="Times New Roman" w:eastAsia="宋体" w:hAnsi="Times New Roman" w:cs="Times New Roman" w:hint="eastAsia"/>
          <w:color w:val="000000" w:themeColor="text1"/>
          <w:sz w:val="24"/>
          <w:szCs w:val="24"/>
        </w:rPr>
        <w:t>任务</w:t>
      </w:r>
      <w:r w:rsidR="0001708B" w:rsidRPr="007B6EE4">
        <w:rPr>
          <w:rFonts w:ascii="Times New Roman" w:eastAsia="宋体" w:hAnsi="Times New Roman" w:cs="Times New Roman"/>
          <w:color w:val="000000" w:themeColor="text1"/>
          <w:sz w:val="24"/>
          <w:szCs w:val="24"/>
        </w:rPr>
        <w:t>和行动指南。</w:t>
      </w:r>
      <w:r w:rsidR="00B53750" w:rsidRPr="007B6EE4">
        <w:rPr>
          <w:rFonts w:ascii="Times New Roman" w:eastAsia="宋体" w:hAnsi="Times New Roman" w:cs="Times New Roman"/>
          <w:color w:val="000000" w:themeColor="text1"/>
          <w:sz w:val="24"/>
          <w:szCs w:val="24"/>
        </w:rPr>
        <w:t>建设金融强国的战略背景是统筹国内国际两个大局。</w:t>
      </w:r>
      <w:r w:rsidR="0001708B" w:rsidRPr="007B6EE4">
        <w:rPr>
          <w:rFonts w:ascii="Times New Roman" w:eastAsia="宋体" w:hAnsi="Times New Roman" w:cs="Times New Roman"/>
          <w:color w:val="000000" w:themeColor="text1"/>
          <w:sz w:val="24"/>
          <w:szCs w:val="24"/>
        </w:rPr>
        <w:t>对外部，</w:t>
      </w:r>
      <w:r w:rsidR="00FE4A9F" w:rsidRPr="007B6EE4">
        <w:rPr>
          <w:rFonts w:ascii="Times New Roman" w:eastAsia="宋体" w:hAnsi="Times New Roman" w:cs="Times New Roman"/>
          <w:color w:val="000000" w:themeColor="text1"/>
          <w:sz w:val="24"/>
          <w:szCs w:val="24"/>
        </w:rPr>
        <w:t>世界百年未有之大变局加速演进，大国博弈日趋加剧，中国金融要立于不败之地，必须强大自我，</w:t>
      </w:r>
      <w:r w:rsidR="00B53750" w:rsidRPr="007B6EE4">
        <w:rPr>
          <w:rFonts w:ascii="Times New Roman" w:eastAsia="宋体" w:hAnsi="Times New Roman" w:cs="Times New Roman"/>
          <w:color w:val="000000" w:themeColor="text1"/>
          <w:sz w:val="24"/>
          <w:szCs w:val="24"/>
        </w:rPr>
        <w:t>着力强化</w:t>
      </w:r>
      <w:r w:rsidR="00FE4A9F" w:rsidRPr="007B6EE4">
        <w:rPr>
          <w:rFonts w:ascii="Times New Roman" w:eastAsia="宋体" w:hAnsi="Times New Roman" w:cs="Times New Roman"/>
          <w:color w:val="000000" w:themeColor="text1"/>
          <w:sz w:val="24"/>
          <w:szCs w:val="24"/>
        </w:rPr>
        <w:t>金融体系弹性韧性，</w:t>
      </w:r>
      <w:r w:rsidR="00AA79C8">
        <w:rPr>
          <w:rFonts w:ascii="Times New Roman" w:eastAsia="宋体" w:hAnsi="Times New Roman" w:cs="Times New Roman" w:hint="eastAsia"/>
          <w:color w:val="000000" w:themeColor="text1"/>
          <w:sz w:val="24"/>
          <w:szCs w:val="24"/>
        </w:rPr>
        <w:t>有效</w:t>
      </w:r>
      <w:r w:rsidR="00B53750" w:rsidRPr="007B6EE4">
        <w:rPr>
          <w:rFonts w:ascii="Times New Roman" w:eastAsia="宋体" w:hAnsi="Times New Roman" w:cs="Times New Roman"/>
          <w:color w:val="000000" w:themeColor="text1"/>
          <w:sz w:val="24"/>
          <w:szCs w:val="24"/>
        </w:rPr>
        <w:t>提高国</w:t>
      </w:r>
      <w:r w:rsidR="002109E3">
        <w:rPr>
          <w:rFonts w:ascii="Times New Roman" w:eastAsia="宋体" w:hAnsi="Times New Roman" w:cs="Times New Roman" w:hint="eastAsia"/>
          <w:color w:val="000000" w:themeColor="text1"/>
          <w:sz w:val="24"/>
          <w:szCs w:val="24"/>
        </w:rPr>
        <w:t>际</w:t>
      </w:r>
      <w:r w:rsidR="00B53750" w:rsidRPr="007B6EE4">
        <w:rPr>
          <w:rFonts w:ascii="Times New Roman" w:eastAsia="宋体" w:hAnsi="Times New Roman" w:cs="Times New Roman"/>
          <w:color w:val="000000" w:themeColor="text1"/>
          <w:sz w:val="24"/>
          <w:szCs w:val="24"/>
        </w:rPr>
        <w:t>竞争力，维护国家金融安全</w:t>
      </w:r>
      <w:r w:rsidR="00FE4A9F" w:rsidRPr="007B6EE4">
        <w:rPr>
          <w:rFonts w:ascii="Times New Roman" w:eastAsia="宋体" w:hAnsi="Times New Roman" w:cs="Times New Roman"/>
          <w:color w:val="000000" w:themeColor="text1"/>
          <w:sz w:val="24"/>
          <w:szCs w:val="24"/>
        </w:rPr>
        <w:t>。</w:t>
      </w:r>
      <w:r w:rsidR="0001708B" w:rsidRPr="007B6EE4">
        <w:rPr>
          <w:rFonts w:ascii="Times New Roman" w:eastAsia="宋体" w:hAnsi="Times New Roman" w:cs="Times New Roman"/>
          <w:color w:val="000000" w:themeColor="text1"/>
          <w:sz w:val="24"/>
          <w:szCs w:val="24"/>
        </w:rPr>
        <w:t>在内部，</w:t>
      </w:r>
      <w:r w:rsidRPr="00175CAA">
        <w:rPr>
          <w:rFonts w:ascii="Times New Roman" w:eastAsia="宋体" w:hAnsi="Times New Roman" w:cs="Times New Roman"/>
          <w:color w:val="000000" w:themeColor="text1"/>
          <w:sz w:val="24"/>
          <w:szCs w:val="24"/>
        </w:rPr>
        <w:t>中国特色金融发展之路的历史逻辑、理论逻辑和现实逻辑都内嵌于中国式现代化的大逻辑（张晓晶等，</w:t>
      </w:r>
      <w:r w:rsidRPr="00175CAA">
        <w:rPr>
          <w:rFonts w:ascii="Times New Roman" w:eastAsia="宋体" w:hAnsi="Times New Roman" w:cs="Times New Roman"/>
          <w:color w:val="000000" w:themeColor="text1"/>
          <w:sz w:val="24"/>
          <w:szCs w:val="24"/>
        </w:rPr>
        <w:t>2024</w:t>
      </w:r>
      <w:r w:rsidRPr="00175CAA">
        <w:rPr>
          <w:rFonts w:ascii="Times New Roman" w:eastAsia="宋体" w:hAnsi="Times New Roman" w:cs="Times New Roman"/>
          <w:color w:val="000000" w:themeColor="text1"/>
          <w:sz w:val="24"/>
          <w:szCs w:val="24"/>
        </w:rPr>
        <w:t>）</w:t>
      </w:r>
      <w:r w:rsidR="009B1B8D">
        <w:rPr>
          <w:rFonts w:ascii="Times New Roman" w:eastAsia="宋体" w:hAnsi="Times New Roman" w:cs="Times New Roman" w:hint="eastAsia"/>
          <w:color w:val="000000" w:themeColor="text1"/>
          <w:sz w:val="24"/>
          <w:szCs w:val="24"/>
        </w:rPr>
        <w:t>，</w:t>
      </w:r>
      <w:r w:rsidR="00187691" w:rsidRPr="00175CAA">
        <w:rPr>
          <w:rFonts w:ascii="Times New Roman" w:eastAsia="宋体" w:hAnsi="Times New Roman" w:cs="Times New Roman"/>
          <w:color w:val="000000" w:themeColor="text1"/>
          <w:sz w:val="24"/>
          <w:szCs w:val="24"/>
        </w:rPr>
        <w:t>中国金融</w:t>
      </w:r>
      <w:r w:rsidR="00520C7E" w:rsidRPr="00175CAA">
        <w:rPr>
          <w:rFonts w:ascii="Times New Roman" w:eastAsia="宋体" w:hAnsi="Times New Roman" w:cs="Times New Roman"/>
          <w:color w:val="000000" w:themeColor="text1"/>
          <w:sz w:val="24"/>
          <w:szCs w:val="24"/>
        </w:rPr>
        <w:t>须把建设金融强国作为投身强国建设、民族复兴伟业的具体方式和直接体现</w:t>
      </w:r>
      <w:r w:rsidR="00520C7E" w:rsidRPr="003651D6">
        <w:rPr>
          <w:rFonts w:ascii="Times New Roman" w:eastAsia="宋体" w:hAnsi="Times New Roman" w:cs="Times New Roman"/>
          <w:color w:val="000000" w:themeColor="text1"/>
          <w:vertAlign w:val="superscript"/>
        </w:rPr>
        <w:footnoteReference w:id="4"/>
      </w:r>
      <w:r w:rsidR="003651D6">
        <w:rPr>
          <w:rFonts w:ascii="Times New Roman" w:eastAsia="宋体" w:hAnsi="Times New Roman" w:cs="Times New Roman" w:hint="eastAsia"/>
          <w:color w:val="000000" w:themeColor="text1"/>
          <w:sz w:val="24"/>
          <w:szCs w:val="24"/>
        </w:rPr>
        <w:t>。</w:t>
      </w:r>
      <w:r w:rsidR="0097534F" w:rsidRPr="00175CAA">
        <w:rPr>
          <w:rFonts w:ascii="Times New Roman" w:eastAsia="宋体" w:hAnsi="Times New Roman" w:cs="Times New Roman"/>
          <w:color w:val="000000" w:themeColor="text1"/>
          <w:sz w:val="24"/>
          <w:szCs w:val="24"/>
        </w:rPr>
        <w:t>当前俄乌</w:t>
      </w:r>
      <w:r w:rsidR="00B0474E" w:rsidRPr="00175CAA">
        <w:rPr>
          <w:rFonts w:ascii="Times New Roman" w:eastAsia="宋体" w:hAnsi="Times New Roman" w:cs="Times New Roman"/>
          <w:color w:val="000000" w:themeColor="text1"/>
          <w:sz w:val="24"/>
          <w:szCs w:val="24"/>
        </w:rPr>
        <w:t>、中东</w:t>
      </w:r>
      <w:r w:rsidR="0097534F" w:rsidRPr="00175CAA">
        <w:rPr>
          <w:rFonts w:ascii="Times New Roman" w:eastAsia="宋体" w:hAnsi="Times New Roman" w:cs="Times New Roman"/>
          <w:color w:val="000000" w:themeColor="text1"/>
          <w:sz w:val="24"/>
          <w:szCs w:val="24"/>
        </w:rPr>
        <w:t>等地缘政治风险凸显，贸易保护主义、脱钩断链和</w:t>
      </w:r>
      <w:proofErr w:type="gramStart"/>
      <w:r w:rsidR="0097534F" w:rsidRPr="00175CAA">
        <w:rPr>
          <w:rFonts w:ascii="Times New Roman" w:eastAsia="宋体" w:hAnsi="Times New Roman" w:cs="Times New Roman"/>
          <w:color w:val="000000" w:themeColor="text1"/>
          <w:sz w:val="24"/>
          <w:szCs w:val="24"/>
        </w:rPr>
        <w:t>霸</w:t>
      </w:r>
      <w:r w:rsidR="00463ABB" w:rsidRPr="00175CAA">
        <w:rPr>
          <w:rFonts w:ascii="Times New Roman" w:eastAsia="宋体" w:hAnsi="Times New Roman" w:cs="Times New Roman"/>
          <w:color w:val="000000" w:themeColor="text1"/>
          <w:sz w:val="24"/>
          <w:szCs w:val="24"/>
        </w:rPr>
        <w:t>凌</w:t>
      </w:r>
      <w:proofErr w:type="gramEnd"/>
      <w:r w:rsidR="00851570" w:rsidRPr="00175CAA">
        <w:rPr>
          <w:rFonts w:ascii="Times New Roman" w:eastAsia="宋体" w:hAnsi="Times New Roman" w:cs="Times New Roman"/>
          <w:color w:val="000000" w:themeColor="text1"/>
          <w:sz w:val="24"/>
          <w:szCs w:val="24"/>
        </w:rPr>
        <w:t>主义</w:t>
      </w:r>
      <w:r w:rsidR="0097534F" w:rsidRPr="00175CAA">
        <w:rPr>
          <w:rFonts w:ascii="Times New Roman" w:eastAsia="宋体" w:hAnsi="Times New Roman" w:cs="Times New Roman"/>
          <w:color w:val="000000" w:themeColor="text1"/>
          <w:sz w:val="24"/>
          <w:szCs w:val="24"/>
        </w:rPr>
        <w:t>行径层出不穷，特别是美国</w:t>
      </w:r>
      <w:r w:rsidR="00FE4A9F" w:rsidRPr="00175CAA">
        <w:rPr>
          <w:rFonts w:ascii="Times New Roman" w:eastAsia="宋体" w:hAnsi="Times New Roman" w:cs="Times New Roman"/>
          <w:color w:val="000000" w:themeColor="text1"/>
          <w:sz w:val="24"/>
          <w:szCs w:val="24"/>
        </w:rPr>
        <w:t>特朗普</w:t>
      </w:r>
      <w:r w:rsidR="0097534F" w:rsidRPr="00175CAA">
        <w:rPr>
          <w:rFonts w:ascii="Times New Roman" w:eastAsia="宋体" w:hAnsi="Times New Roman" w:cs="Times New Roman"/>
          <w:color w:val="000000" w:themeColor="text1"/>
          <w:sz w:val="24"/>
          <w:szCs w:val="24"/>
        </w:rPr>
        <w:t>新政府可能实施对内减税、对外加税、放松金融监管、</w:t>
      </w:r>
      <w:r w:rsidR="002C7772" w:rsidRPr="00175CAA">
        <w:rPr>
          <w:rFonts w:ascii="Times New Roman" w:eastAsia="宋体" w:hAnsi="Times New Roman" w:cs="Times New Roman"/>
          <w:color w:val="000000" w:themeColor="text1"/>
          <w:sz w:val="24"/>
          <w:szCs w:val="24"/>
        </w:rPr>
        <w:t>加快</w:t>
      </w:r>
      <w:r w:rsidR="00B0474E" w:rsidRPr="00175CAA">
        <w:rPr>
          <w:rFonts w:ascii="Times New Roman" w:eastAsia="宋体" w:hAnsi="Times New Roman" w:cs="Times New Roman"/>
          <w:color w:val="000000" w:themeColor="text1"/>
          <w:sz w:val="24"/>
          <w:szCs w:val="24"/>
        </w:rPr>
        <w:t>推进加密资产发展、</w:t>
      </w:r>
      <w:r w:rsidR="0097534F" w:rsidRPr="00175CAA">
        <w:rPr>
          <w:rFonts w:ascii="Times New Roman" w:eastAsia="宋体" w:hAnsi="Times New Roman" w:cs="Times New Roman"/>
          <w:color w:val="000000" w:themeColor="text1"/>
          <w:sz w:val="24"/>
          <w:szCs w:val="24"/>
        </w:rPr>
        <w:t>强化产业回归、弱化现有国际</w:t>
      </w:r>
      <w:r w:rsidR="005F277B" w:rsidRPr="00175CAA">
        <w:rPr>
          <w:rFonts w:ascii="Times New Roman" w:eastAsia="宋体" w:hAnsi="Times New Roman" w:cs="Times New Roman"/>
          <w:color w:val="000000" w:themeColor="text1"/>
          <w:sz w:val="24"/>
          <w:szCs w:val="24"/>
        </w:rPr>
        <w:t>金融</w:t>
      </w:r>
      <w:r w:rsidR="0097534F" w:rsidRPr="00175CAA">
        <w:rPr>
          <w:rFonts w:ascii="Times New Roman" w:eastAsia="宋体" w:hAnsi="Times New Roman" w:cs="Times New Roman"/>
          <w:color w:val="000000" w:themeColor="text1"/>
          <w:sz w:val="24"/>
          <w:szCs w:val="24"/>
        </w:rPr>
        <w:t>治理秩序等政策</w:t>
      </w:r>
      <w:r w:rsidR="00171D30">
        <w:rPr>
          <w:rFonts w:ascii="Times New Roman" w:eastAsia="宋体" w:hAnsi="Times New Roman" w:cs="Times New Roman" w:hint="eastAsia"/>
          <w:color w:val="000000" w:themeColor="text1"/>
          <w:sz w:val="24"/>
          <w:szCs w:val="24"/>
        </w:rPr>
        <w:t>组合拳</w:t>
      </w:r>
      <w:r w:rsidR="0097534F" w:rsidRPr="00175CAA">
        <w:rPr>
          <w:rFonts w:ascii="Times New Roman" w:eastAsia="宋体" w:hAnsi="Times New Roman" w:cs="Times New Roman" w:hint="eastAsia"/>
          <w:color w:val="000000" w:themeColor="text1"/>
          <w:sz w:val="24"/>
          <w:szCs w:val="24"/>
        </w:rPr>
        <w:t>，</w:t>
      </w:r>
      <w:r w:rsidR="0097534F" w:rsidRPr="00175CAA">
        <w:rPr>
          <w:rFonts w:ascii="Times New Roman" w:eastAsia="宋体" w:hAnsi="Times New Roman" w:cs="Times New Roman"/>
          <w:color w:val="000000" w:themeColor="text1"/>
          <w:sz w:val="24"/>
          <w:szCs w:val="24"/>
        </w:rPr>
        <w:t>将给中国</w:t>
      </w:r>
      <w:r w:rsidR="009C66E6" w:rsidRPr="00175CAA">
        <w:rPr>
          <w:rFonts w:ascii="Times New Roman" w:eastAsia="宋体" w:hAnsi="Times New Roman" w:cs="Times New Roman"/>
          <w:color w:val="000000" w:themeColor="text1"/>
          <w:sz w:val="24"/>
          <w:szCs w:val="24"/>
        </w:rPr>
        <w:t>金融强国建设</w:t>
      </w:r>
      <w:r w:rsidR="0097534F" w:rsidRPr="00175CAA">
        <w:rPr>
          <w:rFonts w:ascii="Times New Roman" w:eastAsia="宋体" w:hAnsi="Times New Roman" w:cs="Times New Roman"/>
          <w:color w:val="000000" w:themeColor="text1"/>
          <w:sz w:val="24"/>
          <w:szCs w:val="24"/>
        </w:rPr>
        <w:t>带来</w:t>
      </w:r>
      <w:r w:rsidR="00851570" w:rsidRPr="00175CAA">
        <w:rPr>
          <w:rFonts w:ascii="Times New Roman" w:eastAsia="宋体" w:hAnsi="Times New Roman" w:cs="Times New Roman"/>
          <w:color w:val="000000" w:themeColor="text1"/>
          <w:sz w:val="24"/>
          <w:szCs w:val="24"/>
        </w:rPr>
        <w:t>新的</w:t>
      </w:r>
      <w:r w:rsidR="0097534F" w:rsidRPr="00175CAA">
        <w:rPr>
          <w:rFonts w:ascii="Times New Roman" w:eastAsia="宋体" w:hAnsi="Times New Roman" w:cs="Times New Roman"/>
          <w:color w:val="000000" w:themeColor="text1"/>
          <w:sz w:val="24"/>
          <w:szCs w:val="24"/>
        </w:rPr>
        <w:t>不确定性。</w:t>
      </w:r>
      <w:r w:rsidR="009C66E6" w:rsidRPr="00175CAA">
        <w:rPr>
          <w:rFonts w:ascii="Times New Roman" w:eastAsia="宋体" w:hAnsi="Times New Roman" w:cs="Times New Roman"/>
          <w:color w:val="000000" w:themeColor="text1"/>
          <w:sz w:val="24"/>
          <w:szCs w:val="24"/>
        </w:rPr>
        <w:t>2025</w:t>
      </w:r>
      <w:r w:rsidR="009C66E6" w:rsidRPr="00175CAA">
        <w:rPr>
          <w:rFonts w:ascii="Times New Roman" w:eastAsia="宋体" w:hAnsi="Times New Roman" w:cs="Times New Roman"/>
          <w:color w:val="000000" w:themeColor="text1"/>
          <w:sz w:val="24"/>
          <w:szCs w:val="24"/>
        </w:rPr>
        <w:t>年正值我国</w:t>
      </w:r>
      <w:r w:rsidR="009C66E6" w:rsidRPr="00186279">
        <w:rPr>
          <w:rFonts w:ascii="宋体" w:eastAsia="宋体" w:hAnsi="宋体" w:cs="Times New Roman"/>
          <w:color w:val="000000" w:themeColor="text1"/>
          <w:sz w:val="24"/>
          <w:szCs w:val="24"/>
        </w:rPr>
        <w:t>“十四五”规划收官之年和“十五五”</w:t>
      </w:r>
      <w:r w:rsidR="009C66E6" w:rsidRPr="00175CAA">
        <w:rPr>
          <w:rFonts w:ascii="Times New Roman" w:eastAsia="宋体" w:hAnsi="Times New Roman" w:cs="Times New Roman"/>
          <w:color w:val="000000" w:themeColor="text1"/>
          <w:sz w:val="24"/>
          <w:szCs w:val="24"/>
        </w:rPr>
        <w:t>规划</w:t>
      </w:r>
      <w:r w:rsidR="003D79D6">
        <w:rPr>
          <w:rFonts w:ascii="Times New Roman" w:eastAsia="宋体" w:hAnsi="Times New Roman" w:cs="Times New Roman"/>
          <w:sz w:val="24"/>
          <w:szCs w:val="24"/>
        </w:rPr>
        <w:t>布局之年，党中央一系列关于金融强国的战略部署</w:t>
      </w:r>
      <w:r w:rsidR="009C66E6" w:rsidRPr="00173C3E">
        <w:rPr>
          <w:rFonts w:ascii="Times New Roman" w:eastAsia="宋体" w:hAnsi="Times New Roman" w:cs="Times New Roman"/>
          <w:sz w:val="24"/>
          <w:szCs w:val="24"/>
        </w:rPr>
        <w:t>是金融高质量发展的根本遵循</w:t>
      </w:r>
      <w:r w:rsidR="004606FF">
        <w:rPr>
          <w:rFonts w:ascii="Times New Roman" w:eastAsia="宋体" w:hAnsi="Times New Roman" w:cs="Times New Roman" w:hint="eastAsia"/>
          <w:sz w:val="24"/>
          <w:szCs w:val="24"/>
        </w:rPr>
        <w:t>。</w:t>
      </w:r>
      <w:r w:rsidR="00940ED0" w:rsidRPr="00173C3E">
        <w:rPr>
          <w:rFonts w:ascii="Times New Roman" w:eastAsia="宋体" w:hAnsi="Times New Roman" w:cs="Times New Roman"/>
          <w:sz w:val="24"/>
          <w:szCs w:val="24"/>
        </w:rPr>
        <w:t>面对特朗普强势回归</w:t>
      </w:r>
      <w:r w:rsidR="009C66E6" w:rsidRPr="00173C3E">
        <w:rPr>
          <w:rFonts w:ascii="Times New Roman" w:eastAsia="宋体" w:hAnsi="Times New Roman" w:cs="Times New Roman"/>
          <w:sz w:val="24"/>
          <w:szCs w:val="24"/>
        </w:rPr>
        <w:t>和大国博弈新变量</w:t>
      </w:r>
      <w:r w:rsidR="00940ED0" w:rsidRPr="00173C3E">
        <w:rPr>
          <w:rFonts w:ascii="Times New Roman" w:eastAsia="宋体" w:hAnsi="Times New Roman" w:cs="Times New Roman"/>
          <w:sz w:val="24"/>
          <w:szCs w:val="24"/>
        </w:rPr>
        <w:t>，如何</w:t>
      </w:r>
      <w:r w:rsidR="009C66E6" w:rsidRPr="00173C3E">
        <w:rPr>
          <w:rFonts w:ascii="Times New Roman" w:eastAsia="宋体" w:hAnsi="Times New Roman" w:cs="Times New Roman"/>
          <w:sz w:val="24"/>
          <w:szCs w:val="24"/>
        </w:rPr>
        <w:t>按照党中央</w:t>
      </w:r>
      <w:r w:rsidR="003D79D6">
        <w:rPr>
          <w:rFonts w:ascii="Times New Roman" w:eastAsia="宋体" w:hAnsi="Times New Roman" w:cs="Times New Roman" w:hint="eastAsia"/>
          <w:sz w:val="24"/>
          <w:szCs w:val="24"/>
        </w:rPr>
        <w:t>的要求</w:t>
      </w:r>
      <w:r w:rsidR="003D79D6">
        <w:rPr>
          <w:rFonts w:ascii="Times New Roman" w:eastAsia="宋体" w:hAnsi="Times New Roman" w:cs="Times New Roman"/>
          <w:sz w:val="24"/>
          <w:szCs w:val="24"/>
        </w:rPr>
        <w:t>更好地</w:t>
      </w:r>
      <w:r w:rsidR="003D79D6">
        <w:rPr>
          <w:rFonts w:ascii="Times New Roman" w:eastAsia="宋体" w:hAnsi="Times New Roman" w:cs="Times New Roman" w:hint="eastAsia"/>
          <w:sz w:val="24"/>
          <w:szCs w:val="24"/>
        </w:rPr>
        <w:t>部署</w:t>
      </w:r>
      <w:r w:rsidR="00940ED0" w:rsidRPr="00173C3E">
        <w:rPr>
          <w:rFonts w:ascii="Times New Roman" w:eastAsia="宋体" w:hAnsi="Times New Roman" w:cs="Times New Roman"/>
          <w:sz w:val="24"/>
          <w:szCs w:val="24"/>
        </w:rPr>
        <w:t>未来</w:t>
      </w:r>
      <w:r w:rsidR="00940ED0" w:rsidRPr="00173C3E">
        <w:rPr>
          <w:rFonts w:ascii="Times New Roman" w:eastAsia="宋体" w:hAnsi="Times New Roman" w:cs="Times New Roman"/>
          <w:sz w:val="24"/>
          <w:szCs w:val="24"/>
        </w:rPr>
        <w:t>5</w:t>
      </w:r>
      <w:r w:rsidR="00FE4A9F" w:rsidRPr="00173C3E">
        <w:rPr>
          <w:rFonts w:ascii="Times New Roman" w:eastAsia="宋体" w:hAnsi="Times New Roman" w:cs="Times New Roman"/>
          <w:sz w:val="24"/>
          <w:szCs w:val="24"/>
        </w:rPr>
        <w:t>年金融发展的重点领域，成为</w:t>
      </w:r>
      <w:r w:rsidR="009C66E6" w:rsidRPr="00173C3E">
        <w:rPr>
          <w:rFonts w:ascii="Times New Roman" w:eastAsia="宋体" w:hAnsi="Times New Roman" w:cs="Times New Roman"/>
          <w:sz w:val="24"/>
          <w:szCs w:val="24"/>
        </w:rPr>
        <w:t>金融体系急迫</w:t>
      </w:r>
      <w:r w:rsidR="00940ED0" w:rsidRPr="00173C3E">
        <w:rPr>
          <w:rFonts w:ascii="Times New Roman" w:eastAsia="宋体" w:hAnsi="Times New Roman" w:cs="Times New Roman"/>
          <w:sz w:val="24"/>
          <w:szCs w:val="24"/>
        </w:rPr>
        <w:t>的政策任务。</w:t>
      </w:r>
      <w:r w:rsidR="00B53750" w:rsidRPr="00173C3E">
        <w:rPr>
          <w:rFonts w:ascii="Times New Roman" w:eastAsia="宋体" w:hAnsi="Times New Roman" w:cs="Times New Roman"/>
          <w:sz w:val="24"/>
          <w:szCs w:val="24"/>
        </w:rPr>
        <w:t>本文首先简</w:t>
      </w:r>
      <w:r w:rsidR="005F277B" w:rsidRPr="00173C3E">
        <w:rPr>
          <w:rFonts w:ascii="Times New Roman" w:eastAsia="宋体" w:hAnsi="Times New Roman" w:cs="Times New Roman"/>
          <w:sz w:val="24"/>
          <w:szCs w:val="24"/>
        </w:rPr>
        <w:t>要分析特朗普</w:t>
      </w:r>
      <w:r w:rsidR="005F277B" w:rsidRPr="00173C3E">
        <w:rPr>
          <w:rFonts w:ascii="Times New Roman" w:eastAsia="宋体" w:hAnsi="Times New Roman" w:cs="Times New Roman"/>
          <w:sz w:val="24"/>
          <w:szCs w:val="24"/>
        </w:rPr>
        <w:t>2.0</w:t>
      </w:r>
      <w:r w:rsidR="009C66E6" w:rsidRPr="00173C3E">
        <w:rPr>
          <w:rFonts w:ascii="Times New Roman" w:eastAsia="宋体" w:hAnsi="Times New Roman" w:cs="Times New Roman"/>
          <w:sz w:val="24"/>
          <w:szCs w:val="24"/>
        </w:rPr>
        <w:t>冲击可能对中国金融发展造成的影响，其后</w:t>
      </w:r>
      <w:proofErr w:type="gramStart"/>
      <w:r w:rsidR="0097534F" w:rsidRPr="00173C3E">
        <w:rPr>
          <w:rFonts w:ascii="Times New Roman" w:eastAsia="宋体" w:hAnsi="Times New Roman" w:cs="Times New Roman"/>
          <w:sz w:val="24"/>
          <w:szCs w:val="24"/>
        </w:rPr>
        <w:t>基于问题</w:t>
      </w:r>
      <w:proofErr w:type="gramEnd"/>
      <w:r w:rsidR="0097534F" w:rsidRPr="00173C3E">
        <w:rPr>
          <w:rFonts w:ascii="Times New Roman" w:eastAsia="宋体" w:hAnsi="Times New Roman" w:cs="Times New Roman"/>
          <w:sz w:val="24"/>
          <w:szCs w:val="24"/>
        </w:rPr>
        <w:t>导向着重分析大国博弈下金融竞争的重点领域、中美之间的对比</w:t>
      </w:r>
      <w:r w:rsidR="002C7772" w:rsidRPr="00173C3E">
        <w:rPr>
          <w:rFonts w:ascii="Times New Roman" w:eastAsia="宋体" w:hAnsi="Times New Roman" w:cs="Times New Roman"/>
          <w:sz w:val="24"/>
          <w:szCs w:val="24"/>
        </w:rPr>
        <w:t>情况、</w:t>
      </w:r>
      <w:r w:rsidR="0097534F" w:rsidRPr="00173C3E">
        <w:rPr>
          <w:rFonts w:ascii="Times New Roman" w:eastAsia="宋体" w:hAnsi="Times New Roman" w:cs="Times New Roman"/>
          <w:sz w:val="24"/>
          <w:szCs w:val="24"/>
        </w:rPr>
        <w:t>我国</w:t>
      </w:r>
      <w:r w:rsidR="009C66E6" w:rsidRPr="00173C3E">
        <w:rPr>
          <w:rFonts w:ascii="Times New Roman" w:eastAsia="宋体" w:hAnsi="Times New Roman" w:cs="Times New Roman"/>
          <w:sz w:val="24"/>
          <w:szCs w:val="24"/>
        </w:rPr>
        <w:t>相关领域的</w:t>
      </w:r>
      <w:r w:rsidR="002C7772" w:rsidRPr="00173C3E">
        <w:rPr>
          <w:rFonts w:ascii="Times New Roman" w:eastAsia="宋体" w:hAnsi="Times New Roman" w:cs="Times New Roman"/>
          <w:sz w:val="24"/>
          <w:szCs w:val="24"/>
        </w:rPr>
        <w:t>不足</w:t>
      </w:r>
      <w:r w:rsidR="0097534F" w:rsidRPr="00173C3E">
        <w:rPr>
          <w:rFonts w:ascii="Times New Roman" w:eastAsia="宋体" w:hAnsi="Times New Roman" w:cs="Times New Roman"/>
          <w:sz w:val="24"/>
          <w:szCs w:val="24"/>
        </w:rPr>
        <w:t>，</w:t>
      </w:r>
      <w:r w:rsidR="00CE2E04">
        <w:rPr>
          <w:rFonts w:ascii="Times New Roman" w:eastAsia="宋体" w:hAnsi="Times New Roman" w:cs="Times New Roman" w:hint="eastAsia"/>
          <w:sz w:val="24"/>
          <w:szCs w:val="24"/>
        </w:rPr>
        <w:t>继而</w:t>
      </w:r>
      <w:r w:rsidR="005F277B" w:rsidRPr="00173C3E">
        <w:rPr>
          <w:rFonts w:ascii="Times New Roman" w:eastAsia="宋体" w:hAnsi="Times New Roman" w:cs="Times New Roman"/>
          <w:sz w:val="24"/>
          <w:szCs w:val="24"/>
        </w:rPr>
        <w:t>在</w:t>
      </w:r>
      <w:r w:rsidR="0097534F" w:rsidRPr="00173C3E">
        <w:rPr>
          <w:rFonts w:ascii="Times New Roman" w:eastAsia="宋体" w:hAnsi="Times New Roman" w:cs="Times New Roman"/>
          <w:sz w:val="24"/>
          <w:szCs w:val="24"/>
        </w:rPr>
        <w:t>简单梳</w:t>
      </w:r>
      <w:r w:rsidR="0097534F" w:rsidRPr="0088295F">
        <w:rPr>
          <w:rFonts w:ascii="宋体" w:eastAsia="宋体" w:hAnsi="宋体" w:cs="Times New Roman"/>
          <w:sz w:val="24"/>
          <w:szCs w:val="24"/>
        </w:rPr>
        <w:t>理“十四五”时期金融发展的基本经验</w:t>
      </w:r>
      <w:r w:rsidR="005F277B" w:rsidRPr="0088295F">
        <w:rPr>
          <w:rFonts w:ascii="宋体" w:eastAsia="宋体" w:hAnsi="宋体" w:cs="Times New Roman"/>
          <w:sz w:val="24"/>
          <w:szCs w:val="24"/>
        </w:rPr>
        <w:t>后</w:t>
      </w:r>
      <w:r w:rsidR="009C66E6" w:rsidRPr="0088295F">
        <w:rPr>
          <w:rFonts w:ascii="宋体" w:eastAsia="宋体" w:hAnsi="宋体" w:cs="Times New Roman"/>
          <w:sz w:val="24"/>
          <w:szCs w:val="24"/>
        </w:rPr>
        <w:t>，基于目标导向</w:t>
      </w:r>
      <w:r w:rsidR="005F277B" w:rsidRPr="0088295F">
        <w:rPr>
          <w:rFonts w:ascii="宋体" w:eastAsia="宋体" w:hAnsi="宋体" w:cs="Times New Roman"/>
          <w:sz w:val="24"/>
          <w:szCs w:val="24"/>
        </w:rPr>
        <w:t>重点</w:t>
      </w:r>
      <w:r w:rsidR="0097534F" w:rsidRPr="0088295F">
        <w:rPr>
          <w:rFonts w:ascii="宋体" w:eastAsia="宋体" w:hAnsi="宋体" w:cs="Times New Roman"/>
          <w:sz w:val="24"/>
          <w:szCs w:val="24"/>
        </w:rPr>
        <w:t>讨论“十五五”时期</w:t>
      </w:r>
      <w:r w:rsidR="005F277B" w:rsidRPr="0088295F">
        <w:rPr>
          <w:rFonts w:ascii="宋体" w:eastAsia="宋体" w:hAnsi="宋体" w:cs="Times New Roman"/>
          <w:sz w:val="24"/>
          <w:szCs w:val="24"/>
        </w:rPr>
        <w:t>我国</w:t>
      </w:r>
      <w:r w:rsidR="004F04C5" w:rsidRPr="0088295F">
        <w:rPr>
          <w:rFonts w:ascii="宋体" w:eastAsia="宋体" w:hAnsi="宋体" w:cs="Times New Roman"/>
          <w:sz w:val="24"/>
          <w:szCs w:val="24"/>
        </w:rPr>
        <w:t>在大国博弈条件下</w:t>
      </w:r>
      <w:r w:rsidR="004F04C5" w:rsidRPr="00173C3E">
        <w:rPr>
          <w:rFonts w:ascii="Times New Roman" w:eastAsia="宋体" w:hAnsi="Times New Roman" w:cs="Times New Roman"/>
          <w:sz w:val="24"/>
          <w:szCs w:val="24"/>
        </w:rPr>
        <w:t>加快</w:t>
      </w:r>
      <w:r w:rsidR="00851570" w:rsidRPr="00173C3E">
        <w:rPr>
          <w:rFonts w:ascii="Times New Roman" w:eastAsia="宋体" w:hAnsi="Times New Roman" w:cs="Times New Roman"/>
          <w:sz w:val="24"/>
          <w:szCs w:val="24"/>
        </w:rPr>
        <w:t>推进</w:t>
      </w:r>
      <w:r w:rsidR="0097534F" w:rsidRPr="00173C3E">
        <w:rPr>
          <w:rFonts w:ascii="Times New Roman" w:eastAsia="宋体" w:hAnsi="Times New Roman" w:cs="Times New Roman"/>
          <w:sz w:val="24"/>
          <w:szCs w:val="24"/>
        </w:rPr>
        <w:t>金融强国建设的重点任务。</w:t>
      </w:r>
    </w:p>
    <w:p w14:paraId="6204FA4C" w14:textId="77777777" w:rsidR="006126F2" w:rsidRDefault="006126F2" w:rsidP="00AF0AF5">
      <w:pPr>
        <w:adjustRightInd w:val="0"/>
        <w:snapToGrid w:val="0"/>
        <w:spacing w:before="100" w:beforeAutospacing="1" w:after="100" w:afterAutospacing="1" w:line="360" w:lineRule="auto"/>
        <w:ind w:firstLineChars="200" w:firstLine="560"/>
        <w:contextualSpacing/>
        <w:rPr>
          <w:rFonts w:ascii="Times New Roman" w:eastAsia="宋体" w:hAnsi="Times New Roman" w:cs="Times New Roman"/>
          <w:sz w:val="28"/>
          <w:szCs w:val="28"/>
        </w:rPr>
      </w:pPr>
    </w:p>
    <w:p w14:paraId="41A17AD1" w14:textId="4D2D683E" w:rsidR="00532AC9" w:rsidRPr="006126F2" w:rsidRDefault="009330D6" w:rsidP="00AF0AF5">
      <w:pPr>
        <w:adjustRightInd w:val="0"/>
        <w:snapToGrid w:val="0"/>
        <w:spacing w:before="100" w:beforeAutospacing="1" w:after="100" w:afterAutospacing="1" w:line="360" w:lineRule="auto"/>
        <w:ind w:firstLineChars="200" w:firstLine="562"/>
        <w:contextualSpacing/>
        <w:rPr>
          <w:rFonts w:ascii="Times New Roman" w:eastAsia="宋体" w:hAnsi="Times New Roman" w:cs="Times New Roman"/>
          <w:b/>
          <w:bCs/>
          <w:sz w:val="28"/>
          <w:szCs w:val="28"/>
        </w:rPr>
      </w:pPr>
      <w:r w:rsidRPr="006126F2">
        <w:rPr>
          <w:rFonts w:ascii="Times New Roman" w:eastAsia="宋体" w:hAnsi="Times New Roman" w:cs="Times New Roman"/>
          <w:b/>
          <w:bCs/>
          <w:sz w:val="28"/>
          <w:szCs w:val="28"/>
        </w:rPr>
        <w:t>二</w:t>
      </w:r>
      <w:r w:rsidR="00F40FD3" w:rsidRPr="006126F2">
        <w:rPr>
          <w:rFonts w:ascii="Times New Roman" w:eastAsia="宋体" w:hAnsi="Times New Roman" w:cs="Times New Roman"/>
          <w:b/>
          <w:bCs/>
          <w:sz w:val="28"/>
          <w:szCs w:val="28"/>
        </w:rPr>
        <w:t>、特朗普</w:t>
      </w:r>
      <w:r w:rsidR="00F40FD3" w:rsidRPr="006126F2">
        <w:rPr>
          <w:rFonts w:ascii="Times New Roman" w:eastAsia="宋体" w:hAnsi="Times New Roman" w:cs="Times New Roman"/>
          <w:b/>
          <w:bCs/>
          <w:sz w:val="28"/>
          <w:szCs w:val="28"/>
        </w:rPr>
        <w:t>2.0</w:t>
      </w:r>
      <w:r w:rsidR="0097534F" w:rsidRPr="006126F2">
        <w:rPr>
          <w:rFonts w:ascii="Times New Roman" w:eastAsia="宋体" w:hAnsi="Times New Roman" w:cs="Times New Roman"/>
          <w:b/>
          <w:bCs/>
          <w:sz w:val="28"/>
          <w:szCs w:val="28"/>
        </w:rPr>
        <w:t>对中国金融的潜在</w:t>
      </w:r>
      <w:r w:rsidR="00F40FD3" w:rsidRPr="006126F2">
        <w:rPr>
          <w:rFonts w:ascii="Times New Roman" w:eastAsia="宋体" w:hAnsi="Times New Roman" w:cs="Times New Roman"/>
          <w:b/>
          <w:bCs/>
          <w:sz w:val="28"/>
          <w:szCs w:val="28"/>
        </w:rPr>
        <w:t>冲击</w:t>
      </w:r>
    </w:p>
    <w:p w14:paraId="09EE36AD" w14:textId="43754EF4" w:rsidR="00694BFD" w:rsidRPr="00173C3E" w:rsidRDefault="00F40FD3"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color w:val="FF0000"/>
          <w:sz w:val="24"/>
          <w:szCs w:val="24"/>
        </w:rPr>
      </w:pPr>
      <w:r w:rsidRPr="00BB6974">
        <w:rPr>
          <w:rFonts w:ascii="宋体" w:eastAsia="宋体" w:hAnsi="宋体" w:cs="Times New Roman"/>
          <w:sz w:val="24"/>
          <w:szCs w:val="24"/>
        </w:rPr>
        <w:t>特朗普以“美国优先”</w:t>
      </w:r>
      <w:r w:rsidR="00E7586F" w:rsidRPr="00BB6974">
        <w:rPr>
          <w:rFonts w:ascii="宋体" w:eastAsia="宋体" w:hAnsi="宋体" w:cs="Times New Roman"/>
          <w:sz w:val="24"/>
          <w:szCs w:val="24"/>
        </w:rPr>
        <w:t>“再次伟大”的政策</w:t>
      </w:r>
      <w:r w:rsidR="006E5912" w:rsidRPr="00BB6974">
        <w:rPr>
          <w:rFonts w:ascii="宋体" w:eastAsia="宋体" w:hAnsi="宋体" w:cs="Times New Roman"/>
          <w:sz w:val="24"/>
          <w:szCs w:val="24"/>
        </w:rPr>
        <w:t>宣言</w:t>
      </w:r>
      <w:r w:rsidR="009F2DA5" w:rsidRPr="00BB6974">
        <w:rPr>
          <w:rFonts w:ascii="宋体" w:eastAsia="宋体" w:hAnsi="宋体" w:cs="Times New Roman"/>
          <w:sz w:val="24"/>
          <w:szCs w:val="24"/>
        </w:rPr>
        <w:t>赢得了大选，并已</w:t>
      </w:r>
      <w:r w:rsidRPr="00BB6974">
        <w:rPr>
          <w:rFonts w:ascii="宋体" w:eastAsia="宋体" w:hAnsi="宋体" w:cs="Times New Roman"/>
          <w:sz w:val="24"/>
          <w:szCs w:val="24"/>
        </w:rPr>
        <w:t>在</w:t>
      </w:r>
      <w:r w:rsidRPr="00960E82">
        <w:rPr>
          <w:rFonts w:ascii="Times New Roman" w:eastAsia="宋体" w:hAnsi="Times New Roman" w:cs="Times New Roman"/>
          <w:sz w:val="24"/>
          <w:szCs w:val="24"/>
        </w:rPr>
        <w:t>2025</w:t>
      </w:r>
      <w:r w:rsidRPr="00173C3E">
        <w:rPr>
          <w:rFonts w:ascii="Times New Roman" w:eastAsia="宋体" w:hAnsi="Times New Roman" w:cs="Times New Roman"/>
          <w:sz w:val="24"/>
          <w:szCs w:val="24"/>
        </w:rPr>
        <w:t>年</w:t>
      </w:r>
      <w:r w:rsidRPr="00173C3E">
        <w:rPr>
          <w:rFonts w:ascii="Times New Roman" w:eastAsia="宋体" w:hAnsi="Times New Roman" w:cs="Times New Roman"/>
          <w:sz w:val="24"/>
          <w:szCs w:val="24"/>
        </w:rPr>
        <w:t>1</w:t>
      </w:r>
      <w:r w:rsidRPr="00173C3E">
        <w:rPr>
          <w:rFonts w:ascii="Times New Roman" w:eastAsia="宋体" w:hAnsi="Times New Roman" w:cs="Times New Roman"/>
          <w:sz w:val="24"/>
          <w:szCs w:val="24"/>
        </w:rPr>
        <w:t>月开启</w:t>
      </w:r>
      <w:r w:rsidR="002C7772" w:rsidRPr="00173C3E">
        <w:rPr>
          <w:rFonts w:ascii="Times New Roman" w:eastAsia="宋体" w:hAnsi="Times New Roman" w:cs="Times New Roman"/>
          <w:sz w:val="24"/>
          <w:szCs w:val="24"/>
        </w:rPr>
        <w:t>了</w:t>
      </w:r>
      <w:r w:rsidRPr="00173C3E">
        <w:rPr>
          <w:rFonts w:ascii="Times New Roman" w:eastAsia="宋体" w:hAnsi="Times New Roman" w:cs="Times New Roman"/>
          <w:sz w:val="24"/>
          <w:szCs w:val="24"/>
        </w:rPr>
        <w:t>新任期。特朗普</w:t>
      </w:r>
      <w:r w:rsidR="009F2DA5" w:rsidRPr="00173C3E">
        <w:rPr>
          <w:rFonts w:ascii="Times New Roman" w:eastAsia="宋体" w:hAnsi="Times New Roman" w:cs="Times New Roman"/>
          <w:sz w:val="24"/>
          <w:szCs w:val="24"/>
        </w:rPr>
        <w:t>2.0</w:t>
      </w:r>
      <w:r w:rsidR="009F2DA5" w:rsidRPr="00173C3E">
        <w:rPr>
          <w:rFonts w:ascii="Times New Roman" w:eastAsia="宋体" w:hAnsi="Times New Roman" w:cs="Times New Roman"/>
          <w:sz w:val="24"/>
          <w:szCs w:val="24"/>
        </w:rPr>
        <w:t>时期可能</w:t>
      </w:r>
      <w:r w:rsidRPr="00173C3E">
        <w:rPr>
          <w:rFonts w:ascii="Times New Roman" w:eastAsia="宋体" w:hAnsi="Times New Roman" w:cs="Times New Roman"/>
          <w:sz w:val="24"/>
          <w:szCs w:val="24"/>
        </w:rPr>
        <w:t>会以其</w:t>
      </w:r>
      <w:r w:rsidR="009F2DA5" w:rsidRPr="00173C3E">
        <w:rPr>
          <w:rFonts w:ascii="Times New Roman" w:eastAsia="宋体" w:hAnsi="Times New Roman" w:cs="Times New Roman"/>
          <w:sz w:val="24"/>
          <w:szCs w:val="24"/>
        </w:rPr>
        <w:t>独特的</w:t>
      </w:r>
      <w:r w:rsidR="002C7772" w:rsidRPr="00173C3E">
        <w:rPr>
          <w:rFonts w:ascii="Times New Roman" w:eastAsia="宋体" w:hAnsi="Times New Roman" w:cs="Times New Roman"/>
          <w:sz w:val="24"/>
          <w:szCs w:val="24"/>
        </w:rPr>
        <w:t>执政</w:t>
      </w:r>
      <w:r w:rsidR="009F2DA5" w:rsidRPr="00173C3E">
        <w:rPr>
          <w:rFonts w:ascii="Times New Roman" w:eastAsia="宋体" w:hAnsi="Times New Roman" w:cs="Times New Roman"/>
          <w:sz w:val="24"/>
          <w:szCs w:val="24"/>
        </w:rPr>
        <w:t>逻辑和</w:t>
      </w:r>
      <w:r w:rsidR="002C7772" w:rsidRPr="00173C3E">
        <w:rPr>
          <w:rFonts w:ascii="Times New Roman" w:eastAsia="宋体" w:hAnsi="Times New Roman" w:cs="Times New Roman"/>
          <w:sz w:val="24"/>
          <w:szCs w:val="24"/>
        </w:rPr>
        <w:t>政策</w:t>
      </w:r>
      <w:r w:rsidR="009F2DA5" w:rsidRPr="00173C3E">
        <w:rPr>
          <w:rFonts w:ascii="Times New Roman" w:eastAsia="宋体" w:hAnsi="Times New Roman" w:cs="Times New Roman"/>
          <w:sz w:val="24"/>
          <w:szCs w:val="24"/>
        </w:rPr>
        <w:t>举措</w:t>
      </w:r>
      <w:r w:rsidRPr="00173C3E">
        <w:rPr>
          <w:rFonts w:ascii="Times New Roman" w:eastAsia="宋体" w:hAnsi="Times New Roman" w:cs="Times New Roman"/>
          <w:sz w:val="24"/>
          <w:szCs w:val="24"/>
        </w:rPr>
        <w:t>在改进政府效率、</w:t>
      </w:r>
      <w:r w:rsidR="009F2DA5" w:rsidRPr="00173C3E">
        <w:rPr>
          <w:rFonts w:ascii="Times New Roman" w:eastAsia="宋体" w:hAnsi="Times New Roman" w:cs="Times New Roman"/>
          <w:sz w:val="24"/>
          <w:szCs w:val="24"/>
        </w:rPr>
        <w:t>对内</w:t>
      </w:r>
      <w:r w:rsidRPr="00173C3E">
        <w:rPr>
          <w:rFonts w:ascii="Times New Roman" w:eastAsia="宋体" w:hAnsi="Times New Roman" w:cs="Times New Roman"/>
          <w:sz w:val="24"/>
          <w:szCs w:val="24"/>
        </w:rPr>
        <w:t>减税、</w:t>
      </w:r>
      <w:r w:rsidR="009F2DA5" w:rsidRPr="00173C3E">
        <w:rPr>
          <w:rFonts w:ascii="Times New Roman" w:eastAsia="宋体" w:hAnsi="Times New Roman" w:cs="Times New Roman"/>
          <w:sz w:val="24"/>
          <w:szCs w:val="24"/>
        </w:rPr>
        <w:t>对外加征关税、倡导创新</w:t>
      </w:r>
      <w:r w:rsidRPr="00173C3E">
        <w:rPr>
          <w:rFonts w:ascii="Times New Roman" w:eastAsia="宋体" w:hAnsi="Times New Roman" w:cs="Times New Roman"/>
          <w:sz w:val="24"/>
          <w:szCs w:val="24"/>
        </w:rPr>
        <w:t>和发展低成本能源</w:t>
      </w:r>
      <w:r w:rsidR="009F2DA5" w:rsidRPr="00173C3E">
        <w:rPr>
          <w:rFonts w:ascii="Times New Roman" w:eastAsia="宋体" w:hAnsi="Times New Roman" w:cs="Times New Roman"/>
          <w:sz w:val="24"/>
          <w:szCs w:val="24"/>
        </w:rPr>
        <w:t>等</w:t>
      </w:r>
      <w:r w:rsidR="002C7772" w:rsidRPr="00173C3E">
        <w:rPr>
          <w:rFonts w:ascii="Times New Roman" w:eastAsia="宋体" w:hAnsi="Times New Roman" w:cs="Times New Roman"/>
          <w:sz w:val="24"/>
          <w:szCs w:val="24"/>
        </w:rPr>
        <w:t>五大</w:t>
      </w:r>
      <w:r w:rsidRPr="00173C3E">
        <w:rPr>
          <w:rFonts w:ascii="Times New Roman" w:eastAsia="宋体" w:hAnsi="Times New Roman" w:cs="Times New Roman"/>
          <w:sz w:val="24"/>
          <w:szCs w:val="24"/>
        </w:rPr>
        <w:t>领域</w:t>
      </w:r>
      <w:r w:rsidR="009358E6" w:rsidRPr="00173C3E">
        <w:rPr>
          <w:rFonts w:ascii="Times New Roman" w:eastAsia="宋体" w:hAnsi="Times New Roman" w:cs="Times New Roman"/>
          <w:sz w:val="24"/>
          <w:szCs w:val="24"/>
        </w:rPr>
        <w:t>率先</w:t>
      </w:r>
      <w:r w:rsidRPr="00173C3E">
        <w:rPr>
          <w:rFonts w:ascii="Times New Roman" w:eastAsia="宋体" w:hAnsi="Times New Roman" w:cs="Times New Roman"/>
          <w:sz w:val="24"/>
          <w:szCs w:val="24"/>
        </w:rPr>
        <w:t>发力。</w:t>
      </w:r>
      <w:r w:rsidR="00940ED0" w:rsidRPr="00173C3E">
        <w:rPr>
          <w:rFonts w:ascii="Times New Roman" w:eastAsia="宋体" w:hAnsi="Times New Roman" w:cs="Times New Roman"/>
          <w:sz w:val="24"/>
          <w:szCs w:val="24"/>
        </w:rPr>
        <w:t>由于在政府、国会和最高法院都</w:t>
      </w:r>
      <w:r w:rsidR="00CE2E04">
        <w:rPr>
          <w:rFonts w:ascii="Times New Roman" w:eastAsia="宋体" w:hAnsi="Times New Roman" w:cs="Times New Roman" w:hint="eastAsia"/>
          <w:sz w:val="24"/>
          <w:szCs w:val="24"/>
        </w:rPr>
        <w:t>占据</w:t>
      </w:r>
      <w:r w:rsidR="00940ED0" w:rsidRPr="00173C3E">
        <w:rPr>
          <w:rFonts w:ascii="Times New Roman" w:eastAsia="宋体" w:hAnsi="Times New Roman" w:cs="Times New Roman"/>
          <w:sz w:val="24"/>
          <w:szCs w:val="24"/>
        </w:rPr>
        <w:t>优势，特朗普</w:t>
      </w:r>
      <w:r w:rsidR="00940ED0" w:rsidRPr="00173C3E">
        <w:rPr>
          <w:rFonts w:ascii="Times New Roman" w:eastAsia="宋体" w:hAnsi="Times New Roman" w:cs="Times New Roman"/>
          <w:sz w:val="24"/>
          <w:szCs w:val="24"/>
        </w:rPr>
        <w:t>2.0</w:t>
      </w:r>
      <w:r w:rsidR="009B3FF9" w:rsidRPr="00173C3E">
        <w:rPr>
          <w:rFonts w:ascii="Times New Roman" w:eastAsia="宋体" w:hAnsi="Times New Roman" w:cs="Times New Roman"/>
          <w:sz w:val="24"/>
          <w:szCs w:val="24"/>
        </w:rPr>
        <w:t>的政策制定及实施的阻力较小，新政府</w:t>
      </w:r>
      <w:r w:rsidR="00611341">
        <w:rPr>
          <w:rFonts w:ascii="Times New Roman" w:eastAsia="宋体" w:hAnsi="Times New Roman" w:cs="Times New Roman" w:hint="eastAsia"/>
          <w:sz w:val="24"/>
          <w:szCs w:val="24"/>
        </w:rPr>
        <w:t>就职</w:t>
      </w:r>
      <w:r w:rsidR="009B3FF9" w:rsidRPr="00173C3E">
        <w:rPr>
          <w:rFonts w:ascii="Times New Roman" w:eastAsia="宋体" w:hAnsi="Times New Roman" w:cs="Times New Roman"/>
          <w:sz w:val="24"/>
          <w:szCs w:val="24"/>
        </w:rPr>
        <w:t>将是一次强势的回归，可能会对国际货币金融体</w:t>
      </w:r>
      <w:r w:rsidR="009B3FF9" w:rsidRPr="00173C3E">
        <w:rPr>
          <w:rFonts w:ascii="Times New Roman" w:eastAsia="宋体" w:hAnsi="Times New Roman" w:cs="Times New Roman"/>
          <w:sz w:val="24"/>
          <w:szCs w:val="24"/>
        </w:rPr>
        <w:lastRenderedPageBreak/>
        <w:t>系带来重要影响，主要表现为三个方面。</w:t>
      </w:r>
      <w:r w:rsidR="00940ED0" w:rsidRPr="00173C3E">
        <w:rPr>
          <w:rFonts w:ascii="Times New Roman" w:eastAsia="宋体" w:hAnsi="Times New Roman" w:cs="Times New Roman"/>
          <w:sz w:val="24"/>
          <w:szCs w:val="24"/>
        </w:rPr>
        <w:t>一是相对独立的政策体系将使得长期以来</w:t>
      </w:r>
      <w:r w:rsidR="00F213FA">
        <w:rPr>
          <w:rFonts w:ascii="Times New Roman" w:eastAsia="宋体" w:hAnsi="Times New Roman" w:cs="Times New Roman"/>
          <w:sz w:val="24"/>
          <w:szCs w:val="24"/>
        </w:rPr>
        <w:t>以七国集团为主导的西方治理体系面临较大的重构压力。二是对内实施</w:t>
      </w:r>
      <w:r w:rsidR="00940ED0" w:rsidRPr="00173C3E">
        <w:rPr>
          <w:rFonts w:ascii="Times New Roman" w:eastAsia="宋体" w:hAnsi="Times New Roman" w:cs="Times New Roman"/>
          <w:sz w:val="24"/>
          <w:szCs w:val="24"/>
        </w:rPr>
        <w:t>市场化的政策举措，会使美国及部分国家的对外直接投资、资本流动、汇率以及全球金融竞争力发生相对变化。三是对外实施逆全球化或逆市场化举措，一定程度上将表现为主动与外</w:t>
      </w:r>
      <w:r w:rsidR="00940ED0" w:rsidRPr="00E325BA">
        <w:rPr>
          <w:rFonts w:ascii="宋体" w:eastAsia="宋体" w:hAnsi="宋体" w:cs="Times New Roman"/>
          <w:sz w:val="24"/>
          <w:szCs w:val="24"/>
        </w:rPr>
        <w:t>部“脱钩”，将深</w:t>
      </w:r>
      <w:r w:rsidR="00940ED0" w:rsidRPr="00173C3E">
        <w:rPr>
          <w:rFonts w:ascii="Times New Roman" w:eastAsia="宋体" w:hAnsi="Times New Roman" w:cs="Times New Roman"/>
          <w:sz w:val="24"/>
          <w:szCs w:val="24"/>
        </w:rPr>
        <w:t>刻改变全球政治经济和货币金融格局。</w:t>
      </w:r>
      <w:r w:rsidR="003557FA" w:rsidRPr="00173C3E">
        <w:rPr>
          <w:rFonts w:ascii="Times New Roman" w:eastAsia="宋体" w:hAnsi="Times New Roman" w:cs="Times New Roman"/>
          <w:sz w:val="24"/>
          <w:szCs w:val="24"/>
        </w:rPr>
        <w:t>尤其是，这种内外不一致的政策逻辑对国际</w:t>
      </w:r>
      <w:r w:rsidR="0061191E">
        <w:rPr>
          <w:rFonts w:ascii="Times New Roman" w:eastAsia="宋体" w:hAnsi="Times New Roman" w:cs="Times New Roman" w:hint="eastAsia"/>
          <w:sz w:val="24"/>
          <w:szCs w:val="24"/>
        </w:rPr>
        <w:t>货币</w:t>
      </w:r>
      <w:r w:rsidR="003557FA" w:rsidRPr="00173C3E">
        <w:rPr>
          <w:rFonts w:ascii="Times New Roman" w:eastAsia="宋体" w:hAnsi="Times New Roman" w:cs="Times New Roman"/>
          <w:sz w:val="24"/>
          <w:szCs w:val="24"/>
        </w:rPr>
        <w:t>金融体系的冲击可能更加</w:t>
      </w:r>
      <w:r w:rsidR="00F213FA">
        <w:rPr>
          <w:rFonts w:ascii="Times New Roman" w:eastAsia="宋体" w:hAnsi="Times New Roman" w:cs="Times New Roman" w:hint="eastAsia"/>
          <w:sz w:val="24"/>
          <w:szCs w:val="24"/>
        </w:rPr>
        <w:t>复杂</w:t>
      </w:r>
      <w:r w:rsidR="003557FA" w:rsidRPr="00173C3E">
        <w:rPr>
          <w:rFonts w:ascii="Times New Roman" w:eastAsia="宋体" w:hAnsi="Times New Roman" w:cs="Times New Roman"/>
          <w:sz w:val="24"/>
          <w:szCs w:val="24"/>
        </w:rPr>
        <w:t>。</w:t>
      </w:r>
    </w:p>
    <w:p w14:paraId="13F9C46A" w14:textId="16189354" w:rsidR="00940ED0" w:rsidRPr="001F5F58" w:rsidRDefault="00940ED0" w:rsidP="00AF0AF5">
      <w:pPr>
        <w:adjustRightInd w:val="0"/>
        <w:snapToGrid w:val="0"/>
        <w:spacing w:before="100" w:beforeAutospacing="1" w:after="100" w:afterAutospacing="1" w:line="360" w:lineRule="auto"/>
        <w:ind w:firstLineChars="200" w:firstLine="480"/>
        <w:contextualSpacing/>
        <w:rPr>
          <w:rFonts w:ascii="宋体" w:eastAsia="宋体" w:hAnsi="宋体" w:cs="Times New Roman"/>
          <w:sz w:val="24"/>
          <w:szCs w:val="24"/>
        </w:rPr>
      </w:pPr>
      <w:r w:rsidRPr="001F5F58">
        <w:rPr>
          <w:rFonts w:ascii="宋体" w:eastAsia="宋体" w:hAnsi="宋体" w:cs="Times New Roman"/>
          <w:sz w:val="24"/>
          <w:szCs w:val="24"/>
        </w:rPr>
        <w:t>（一）</w:t>
      </w:r>
      <w:r w:rsidR="009B3FF9" w:rsidRPr="001F5F58">
        <w:rPr>
          <w:rFonts w:ascii="宋体" w:eastAsia="宋体" w:hAnsi="宋体" w:cs="Times New Roman"/>
          <w:sz w:val="24"/>
          <w:szCs w:val="24"/>
        </w:rPr>
        <w:t>内外税收政策</w:t>
      </w:r>
      <w:r w:rsidR="006E5912" w:rsidRPr="001F5F58">
        <w:rPr>
          <w:rFonts w:ascii="宋体" w:eastAsia="宋体" w:hAnsi="宋体" w:cs="Times New Roman"/>
          <w:sz w:val="24"/>
          <w:szCs w:val="24"/>
        </w:rPr>
        <w:t>导致资本回流</w:t>
      </w:r>
    </w:p>
    <w:p w14:paraId="419E14A6" w14:textId="4D9DECB0" w:rsidR="00121B55" w:rsidRPr="00173C3E" w:rsidRDefault="00121B55"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sidRPr="00173C3E">
        <w:rPr>
          <w:rFonts w:ascii="Times New Roman" w:eastAsia="宋体" w:hAnsi="Times New Roman" w:cs="Times New Roman"/>
          <w:sz w:val="24"/>
          <w:szCs w:val="24"/>
        </w:rPr>
        <w:t>在对内和对外两个方向实施差异税收政策是特朗普</w:t>
      </w:r>
      <w:r w:rsidRPr="00173C3E">
        <w:rPr>
          <w:rFonts w:ascii="Times New Roman" w:eastAsia="宋体" w:hAnsi="Times New Roman" w:cs="Times New Roman"/>
          <w:sz w:val="24"/>
          <w:szCs w:val="24"/>
        </w:rPr>
        <w:t>2.0</w:t>
      </w:r>
      <w:r w:rsidRPr="00173C3E">
        <w:rPr>
          <w:rFonts w:ascii="Times New Roman" w:eastAsia="宋体" w:hAnsi="Times New Roman" w:cs="Times New Roman"/>
          <w:sz w:val="24"/>
          <w:szCs w:val="24"/>
        </w:rPr>
        <w:t>的</w:t>
      </w:r>
      <w:r w:rsidR="00F213FA">
        <w:rPr>
          <w:rFonts w:ascii="Times New Roman" w:eastAsia="宋体" w:hAnsi="Times New Roman" w:cs="Times New Roman" w:hint="eastAsia"/>
          <w:sz w:val="24"/>
          <w:szCs w:val="24"/>
        </w:rPr>
        <w:t>重要</w:t>
      </w:r>
      <w:r w:rsidRPr="00173C3E">
        <w:rPr>
          <w:rFonts w:ascii="Times New Roman" w:eastAsia="宋体" w:hAnsi="Times New Roman" w:cs="Times New Roman"/>
          <w:sz w:val="24"/>
          <w:szCs w:val="24"/>
        </w:rPr>
        <w:t>选择，</w:t>
      </w:r>
      <w:r w:rsidR="006E5912" w:rsidRPr="00173C3E">
        <w:rPr>
          <w:rFonts w:ascii="Times New Roman" w:eastAsia="宋体" w:hAnsi="Times New Roman" w:cs="Times New Roman"/>
          <w:sz w:val="24"/>
          <w:szCs w:val="24"/>
        </w:rPr>
        <w:t>这一政策组合将直接影响产业及其资本配置，进而</w:t>
      </w:r>
      <w:r w:rsidRPr="00173C3E">
        <w:rPr>
          <w:rFonts w:ascii="Times New Roman" w:eastAsia="宋体" w:hAnsi="Times New Roman" w:cs="Times New Roman"/>
          <w:sz w:val="24"/>
          <w:szCs w:val="24"/>
        </w:rPr>
        <w:t>深刻影响直接投资、资本流动以及全球金融竞争力。税收政策短期看是影响贸易主体和产业发展，但中长期将对国际金融产生重大影响。</w:t>
      </w:r>
      <w:r w:rsidR="009B3FF9" w:rsidRPr="00173C3E">
        <w:rPr>
          <w:rFonts w:ascii="Times New Roman" w:eastAsia="宋体" w:hAnsi="Times New Roman" w:cs="Times New Roman"/>
          <w:sz w:val="24"/>
          <w:szCs w:val="24"/>
        </w:rPr>
        <w:t>对内，</w:t>
      </w:r>
      <w:r w:rsidRPr="00173C3E">
        <w:rPr>
          <w:rFonts w:ascii="Times New Roman" w:eastAsia="宋体" w:hAnsi="Times New Roman" w:cs="Times New Roman"/>
          <w:sz w:val="24"/>
          <w:szCs w:val="24"/>
        </w:rPr>
        <w:t>坚持</w:t>
      </w:r>
      <w:r w:rsidRPr="003E7125">
        <w:rPr>
          <w:rFonts w:ascii="宋体" w:eastAsia="宋体" w:hAnsi="宋体" w:cs="Times New Roman"/>
          <w:sz w:val="24"/>
          <w:szCs w:val="24"/>
        </w:rPr>
        <w:t>“增长至上”</w:t>
      </w:r>
      <w:r w:rsidRPr="00173C3E">
        <w:rPr>
          <w:rFonts w:ascii="Times New Roman" w:eastAsia="宋体" w:hAnsi="Times New Roman" w:cs="Times New Roman"/>
          <w:sz w:val="24"/>
          <w:szCs w:val="24"/>
        </w:rPr>
        <w:t>，特朗普政府将强化宏观经济政策</w:t>
      </w:r>
      <w:r w:rsidR="009B3FF9" w:rsidRPr="00173C3E">
        <w:rPr>
          <w:rFonts w:ascii="Times New Roman" w:eastAsia="宋体" w:hAnsi="Times New Roman" w:cs="Times New Roman"/>
          <w:sz w:val="24"/>
          <w:szCs w:val="24"/>
        </w:rPr>
        <w:t>对增长和就业的支持</w:t>
      </w:r>
      <w:r w:rsidRPr="00173C3E">
        <w:rPr>
          <w:rFonts w:ascii="Times New Roman" w:eastAsia="宋体" w:hAnsi="Times New Roman" w:cs="Times New Roman"/>
          <w:sz w:val="24"/>
          <w:szCs w:val="24"/>
        </w:rPr>
        <w:t>，</w:t>
      </w:r>
      <w:r w:rsidR="00393D62">
        <w:rPr>
          <w:rFonts w:ascii="Times New Roman" w:eastAsia="宋体" w:hAnsi="Times New Roman" w:cs="Times New Roman" w:hint="eastAsia"/>
          <w:sz w:val="24"/>
          <w:szCs w:val="24"/>
        </w:rPr>
        <w:t>很</w:t>
      </w:r>
      <w:r w:rsidRPr="00173C3E">
        <w:rPr>
          <w:rFonts w:ascii="Times New Roman" w:eastAsia="宋体" w:hAnsi="Times New Roman" w:cs="Times New Roman"/>
          <w:sz w:val="24"/>
          <w:szCs w:val="24"/>
        </w:rPr>
        <w:t>可能实施以减税为核心举措的宽松财政政策。特朗普主张将现行的</w:t>
      </w:r>
      <w:r w:rsidRPr="00173C3E">
        <w:rPr>
          <w:rFonts w:ascii="Times New Roman" w:eastAsia="宋体" w:hAnsi="Times New Roman" w:cs="Times New Roman"/>
          <w:sz w:val="24"/>
          <w:szCs w:val="24"/>
        </w:rPr>
        <w:t>21%</w:t>
      </w:r>
      <w:r w:rsidRPr="00173C3E">
        <w:rPr>
          <w:rFonts w:ascii="Times New Roman" w:eastAsia="宋体" w:hAnsi="Times New Roman" w:cs="Times New Roman"/>
          <w:sz w:val="24"/>
          <w:szCs w:val="24"/>
        </w:rPr>
        <w:t>公司税率降至</w:t>
      </w:r>
      <w:r w:rsidRPr="00173C3E">
        <w:rPr>
          <w:rFonts w:ascii="Times New Roman" w:eastAsia="宋体" w:hAnsi="Times New Roman" w:cs="Times New Roman"/>
          <w:sz w:val="24"/>
          <w:szCs w:val="24"/>
        </w:rPr>
        <w:t>15%</w:t>
      </w:r>
      <w:r w:rsidRPr="00173C3E">
        <w:rPr>
          <w:rFonts w:ascii="Times New Roman" w:eastAsia="宋体" w:hAnsi="Times New Roman" w:cs="Times New Roman"/>
          <w:sz w:val="24"/>
          <w:szCs w:val="24"/>
        </w:rPr>
        <w:t>，同时取消消费税和社会保障付款税，并撤销电动汽车的税收优惠等政策</w:t>
      </w:r>
      <w:r w:rsidR="006E2C04" w:rsidRPr="00173C3E">
        <w:rPr>
          <w:rFonts w:ascii="Times New Roman" w:eastAsia="宋体" w:hAnsi="Times New Roman" w:cs="Times New Roman"/>
          <w:sz w:val="24"/>
          <w:szCs w:val="24"/>
        </w:rPr>
        <w:t>（张明等，</w:t>
      </w:r>
      <w:r w:rsidR="006E2C04" w:rsidRPr="00173C3E">
        <w:rPr>
          <w:rFonts w:ascii="Times New Roman" w:eastAsia="宋体" w:hAnsi="Times New Roman" w:cs="Times New Roman"/>
          <w:sz w:val="24"/>
          <w:szCs w:val="24"/>
        </w:rPr>
        <w:t>2024</w:t>
      </w:r>
      <w:r w:rsidR="006E2C04">
        <w:rPr>
          <w:rFonts w:ascii="Times New Roman" w:eastAsia="宋体" w:hAnsi="Times New Roman" w:cs="Times New Roman" w:hint="eastAsia"/>
          <w:sz w:val="24"/>
          <w:szCs w:val="24"/>
        </w:rPr>
        <w:t>b</w:t>
      </w:r>
      <w:r w:rsidR="006E2C04" w:rsidRPr="00173C3E">
        <w:rPr>
          <w:rFonts w:ascii="Times New Roman" w:eastAsia="宋体" w:hAnsi="Times New Roman" w:cs="Times New Roman"/>
          <w:sz w:val="24"/>
          <w:szCs w:val="24"/>
        </w:rPr>
        <w:t>）</w:t>
      </w:r>
      <w:r w:rsidRPr="00173C3E">
        <w:rPr>
          <w:rFonts w:ascii="Times New Roman" w:eastAsia="宋体" w:hAnsi="Times New Roman" w:cs="Times New Roman"/>
          <w:sz w:val="24"/>
          <w:szCs w:val="24"/>
        </w:rPr>
        <w:t>。大幅降低公司税可能会使得美国产生</w:t>
      </w:r>
      <w:r w:rsidRPr="00324B66">
        <w:rPr>
          <w:rFonts w:ascii="宋体" w:eastAsia="宋体" w:hAnsi="宋体" w:cs="Times New Roman"/>
          <w:sz w:val="24"/>
          <w:szCs w:val="24"/>
        </w:rPr>
        <w:t>一定</w:t>
      </w:r>
      <w:r w:rsidR="004C2EBB">
        <w:rPr>
          <w:rFonts w:ascii="宋体" w:eastAsia="宋体" w:hAnsi="宋体" w:cs="Times New Roman" w:hint="eastAsia"/>
          <w:sz w:val="24"/>
          <w:szCs w:val="24"/>
        </w:rPr>
        <w:t>的</w:t>
      </w:r>
      <w:r w:rsidRPr="00324B66">
        <w:rPr>
          <w:rFonts w:ascii="宋体" w:eastAsia="宋体" w:hAnsi="宋体" w:cs="Times New Roman"/>
          <w:sz w:val="24"/>
          <w:szCs w:val="24"/>
        </w:rPr>
        <w:t>“洼地”</w:t>
      </w:r>
      <w:r w:rsidR="009B3FF9" w:rsidRPr="00324B66">
        <w:rPr>
          <w:rFonts w:ascii="宋体" w:eastAsia="宋体" w:hAnsi="宋体" w:cs="Times New Roman"/>
          <w:sz w:val="24"/>
          <w:szCs w:val="24"/>
        </w:rPr>
        <w:t>效应，对税率较高</w:t>
      </w:r>
      <w:r w:rsidR="009B3FF9" w:rsidRPr="00173C3E">
        <w:rPr>
          <w:rFonts w:ascii="Times New Roman" w:eastAsia="宋体" w:hAnsi="Times New Roman" w:cs="Times New Roman"/>
          <w:sz w:val="24"/>
          <w:szCs w:val="24"/>
        </w:rPr>
        <w:t>的国家</w:t>
      </w:r>
      <w:r w:rsidRPr="00173C3E">
        <w:rPr>
          <w:rFonts w:ascii="Times New Roman" w:eastAsia="宋体" w:hAnsi="Times New Roman" w:cs="Times New Roman"/>
          <w:sz w:val="24"/>
          <w:szCs w:val="24"/>
        </w:rPr>
        <w:t>带来直接竞争，部分企业</w:t>
      </w:r>
      <w:r w:rsidR="006E5912" w:rsidRPr="00173C3E">
        <w:rPr>
          <w:rFonts w:ascii="Times New Roman" w:eastAsia="宋体" w:hAnsi="Times New Roman" w:cs="Times New Roman"/>
          <w:sz w:val="24"/>
          <w:szCs w:val="24"/>
        </w:rPr>
        <w:t>及其资本</w:t>
      </w:r>
      <w:r w:rsidRPr="00173C3E">
        <w:rPr>
          <w:rFonts w:ascii="Times New Roman" w:eastAsia="宋体" w:hAnsi="Times New Roman" w:cs="Times New Roman"/>
          <w:sz w:val="24"/>
          <w:szCs w:val="24"/>
        </w:rPr>
        <w:t>可能会回流或迁移至美国，特别是具有全球重要影响力的跨国公司。对外，特朗普将</w:t>
      </w:r>
      <w:r w:rsidR="00D06A60">
        <w:rPr>
          <w:rFonts w:ascii="Times New Roman" w:eastAsia="宋体" w:hAnsi="Times New Roman" w:cs="Times New Roman" w:hint="eastAsia"/>
          <w:sz w:val="24"/>
          <w:szCs w:val="24"/>
        </w:rPr>
        <w:t>继续</w:t>
      </w:r>
      <w:r w:rsidRPr="00173C3E">
        <w:rPr>
          <w:rFonts w:ascii="Times New Roman" w:eastAsia="宋体" w:hAnsi="Times New Roman" w:cs="Times New Roman"/>
          <w:sz w:val="24"/>
          <w:szCs w:val="24"/>
        </w:rPr>
        <w:t>坚持</w:t>
      </w:r>
      <w:r w:rsidRPr="00B57CAF">
        <w:rPr>
          <w:rFonts w:ascii="宋体" w:eastAsia="宋体" w:hAnsi="宋体" w:cs="Times New Roman"/>
          <w:sz w:val="24"/>
          <w:szCs w:val="24"/>
        </w:rPr>
        <w:t>“美国优先”</w:t>
      </w:r>
      <w:r w:rsidR="00F213FA">
        <w:rPr>
          <w:rFonts w:ascii="Times New Roman" w:eastAsia="宋体" w:hAnsi="Times New Roman" w:cs="Times New Roman"/>
          <w:sz w:val="24"/>
          <w:szCs w:val="24"/>
        </w:rPr>
        <w:t>的贸易政策</w:t>
      </w:r>
      <w:r w:rsidRPr="00173C3E">
        <w:rPr>
          <w:rFonts w:ascii="Times New Roman" w:eastAsia="宋体" w:hAnsi="Times New Roman" w:cs="Times New Roman"/>
          <w:sz w:val="24"/>
          <w:szCs w:val="24"/>
        </w:rPr>
        <w:t>，</w:t>
      </w:r>
      <w:r w:rsidR="00DF6C1A">
        <w:rPr>
          <w:rFonts w:ascii="Times New Roman" w:eastAsia="宋体" w:hAnsi="Times New Roman" w:cs="Times New Roman" w:hint="eastAsia"/>
          <w:sz w:val="24"/>
          <w:szCs w:val="24"/>
        </w:rPr>
        <w:t>致</w:t>
      </w:r>
      <w:r w:rsidRPr="00173C3E">
        <w:rPr>
          <w:rFonts w:ascii="Times New Roman" w:eastAsia="宋体" w:hAnsi="Times New Roman" w:cs="Times New Roman"/>
          <w:sz w:val="24"/>
          <w:szCs w:val="24"/>
        </w:rPr>
        <w:t>力于减少美国贸易逆差，基于</w:t>
      </w:r>
      <w:r w:rsidR="00F213FA">
        <w:rPr>
          <w:rFonts w:ascii="Times New Roman" w:eastAsia="宋体" w:hAnsi="Times New Roman" w:cs="Times New Roman" w:hint="eastAsia"/>
          <w:sz w:val="24"/>
          <w:szCs w:val="24"/>
        </w:rPr>
        <w:t>获利及减少逆差</w:t>
      </w:r>
      <w:r w:rsidRPr="00173C3E">
        <w:rPr>
          <w:rFonts w:ascii="Times New Roman" w:eastAsia="宋体" w:hAnsi="Times New Roman" w:cs="Times New Roman"/>
          <w:sz w:val="24"/>
          <w:szCs w:val="24"/>
        </w:rPr>
        <w:t>的简单贸易原则</w:t>
      </w:r>
      <w:r w:rsidR="00F213FA">
        <w:rPr>
          <w:rFonts w:ascii="Times New Roman" w:eastAsia="宋体" w:hAnsi="Times New Roman" w:cs="Times New Roman"/>
          <w:sz w:val="24"/>
          <w:szCs w:val="24"/>
        </w:rPr>
        <w:t>可能对美国</w:t>
      </w:r>
      <w:r w:rsidR="00F213FA">
        <w:rPr>
          <w:rFonts w:ascii="Times New Roman" w:eastAsia="宋体" w:hAnsi="Times New Roman" w:cs="Times New Roman" w:hint="eastAsia"/>
          <w:sz w:val="24"/>
          <w:szCs w:val="24"/>
        </w:rPr>
        <w:t>及其重要贸易伙伴的</w:t>
      </w:r>
      <w:r w:rsidR="00F213FA">
        <w:rPr>
          <w:rFonts w:ascii="Times New Roman" w:eastAsia="宋体" w:hAnsi="Times New Roman" w:cs="Times New Roman"/>
          <w:sz w:val="24"/>
          <w:szCs w:val="24"/>
        </w:rPr>
        <w:t>国际收支产生</w:t>
      </w:r>
      <w:r w:rsidR="00F213FA">
        <w:rPr>
          <w:rFonts w:ascii="Times New Roman" w:eastAsia="宋体" w:hAnsi="Times New Roman" w:cs="Times New Roman" w:hint="eastAsia"/>
          <w:sz w:val="24"/>
          <w:szCs w:val="24"/>
        </w:rPr>
        <w:t>显著</w:t>
      </w:r>
      <w:r w:rsidRPr="00173C3E">
        <w:rPr>
          <w:rFonts w:ascii="Times New Roman" w:eastAsia="宋体" w:hAnsi="Times New Roman" w:cs="Times New Roman"/>
          <w:sz w:val="24"/>
          <w:szCs w:val="24"/>
        </w:rPr>
        <w:t>影响，使得</w:t>
      </w:r>
      <w:r w:rsidR="00F213FA">
        <w:rPr>
          <w:rFonts w:ascii="Times New Roman" w:eastAsia="宋体" w:hAnsi="Times New Roman" w:cs="Times New Roman"/>
          <w:sz w:val="24"/>
          <w:szCs w:val="24"/>
        </w:rPr>
        <w:t>贸易投资关联和产业</w:t>
      </w:r>
      <w:proofErr w:type="gramStart"/>
      <w:r w:rsidR="00F213FA">
        <w:rPr>
          <w:rFonts w:ascii="Times New Roman" w:eastAsia="宋体" w:hAnsi="Times New Roman" w:cs="Times New Roman"/>
          <w:sz w:val="24"/>
          <w:szCs w:val="24"/>
        </w:rPr>
        <w:t>链合作</w:t>
      </w:r>
      <w:proofErr w:type="gramEnd"/>
      <w:r w:rsidR="00F213FA">
        <w:rPr>
          <w:rFonts w:ascii="Times New Roman" w:eastAsia="宋体" w:hAnsi="Times New Roman" w:cs="Times New Roman"/>
          <w:sz w:val="24"/>
          <w:szCs w:val="24"/>
        </w:rPr>
        <w:t>弱化，</w:t>
      </w:r>
      <w:r w:rsidR="006E5912" w:rsidRPr="00173C3E">
        <w:rPr>
          <w:rFonts w:ascii="Times New Roman" w:eastAsia="宋体" w:hAnsi="Times New Roman" w:cs="Times New Roman"/>
          <w:sz w:val="24"/>
          <w:szCs w:val="24"/>
        </w:rPr>
        <w:t>资本流动、</w:t>
      </w:r>
      <w:r w:rsidRPr="00173C3E">
        <w:rPr>
          <w:rFonts w:ascii="Times New Roman" w:eastAsia="宋体" w:hAnsi="Times New Roman" w:cs="Times New Roman"/>
          <w:sz w:val="24"/>
          <w:szCs w:val="24"/>
        </w:rPr>
        <w:t>国际投资总量和结构也可能随之改变。</w:t>
      </w:r>
    </w:p>
    <w:p w14:paraId="08AE6951" w14:textId="77777777" w:rsidR="00532AC9" w:rsidRPr="00F20544" w:rsidRDefault="00F40FD3" w:rsidP="00AF0AF5">
      <w:pPr>
        <w:adjustRightInd w:val="0"/>
        <w:snapToGrid w:val="0"/>
        <w:spacing w:before="100" w:beforeAutospacing="1" w:after="100" w:afterAutospacing="1" w:line="360" w:lineRule="auto"/>
        <w:ind w:firstLineChars="200" w:firstLine="480"/>
        <w:contextualSpacing/>
        <w:rPr>
          <w:rFonts w:ascii="宋体" w:eastAsia="宋体" w:hAnsi="宋体" w:cs="Times New Roman"/>
          <w:sz w:val="24"/>
          <w:szCs w:val="24"/>
        </w:rPr>
      </w:pPr>
      <w:r w:rsidRPr="00F20544">
        <w:rPr>
          <w:rFonts w:ascii="宋体" w:eastAsia="宋体" w:hAnsi="宋体" w:cs="Times New Roman"/>
          <w:sz w:val="24"/>
          <w:szCs w:val="24"/>
        </w:rPr>
        <w:t>（二）</w:t>
      </w:r>
      <w:r w:rsidR="00D01C52" w:rsidRPr="00F20544">
        <w:rPr>
          <w:rFonts w:ascii="宋体" w:eastAsia="宋体" w:hAnsi="宋体" w:cs="Times New Roman"/>
          <w:sz w:val="24"/>
          <w:szCs w:val="24"/>
        </w:rPr>
        <w:t>鼓励发展</w:t>
      </w:r>
      <w:r w:rsidR="00367F16" w:rsidRPr="00F20544">
        <w:rPr>
          <w:rFonts w:ascii="宋体" w:eastAsia="宋体" w:hAnsi="宋体" w:cs="Times New Roman"/>
          <w:sz w:val="24"/>
          <w:szCs w:val="24"/>
        </w:rPr>
        <w:t>加密资产</w:t>
      </w:r>
    </w:p>
    <w:p w14:paraId="0EA25C44" w14:textId="03E35C73" w:rsidR="00532AC9" w:rsidRPr="00173C3E" w:rsidRDefault="00F213FA"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Pr>
          <w:rFonts w:ascii="Times New Roman" w:eastAsia="宋体" w:hAnsi="Times New Roman" w:cs="Times New Roman"/>
          <w:sz w:val="24"/>
          <w:szCs w:val="24"/>
        </w:rPr>
        <w:t>数字技术将</w:t>
      </w:r>
      <w:r>
        <w:rPr>
          <w:rFonts w:ascii="Times New Roman" w:eastAsia="宋体" w:hAnsi="Times New Roman" w:cs="Times New Roman" w:hint="eastAsia"/>
          <w:sz w:val="24"/>
          <w:szCs w:val="24"/>
        </w:rPr>
        <w:t>深刻</w:t>
      </w:r>
      <w:r w:rsidR="00E74643" w:rsidRPr="00173C3E">
        <w:rPr>
          <w:rFonts w:ascii="Times New Roman" w:eastAsia="宋体" w:hAnsi="Times New Roman" w:cs="Times New Roman"/>
          <w:sz w:val="24"/>
          <w:szCs w:val="24"/>
        </w:rPr>
        <w:t>改变金融生态</w:t>
      </w:r>
      <w:r w:rsidR="00121B55" w:rsidRPr="00173C3E">
        <w:rPr>
          <w:rFonts w:ascii="Times New Roman" w:eastAsia="宋体" w:hAnsi="Times New Roman" w:cs="Times New Roman"/>
          <w:sz w:val="24"/>
          <w:szCs w:val="24"/>
        </w:rPr>
        <w:t>，数字资产将对金融创新和国际货币</w:t>
      </w:r>
      <w:r>
        <w:rPr>
          <w:rFonts w:ascii="Times New Roman" w:eastAsia="宋体" w:hAnsi="Times New Roman" w:cs="Times New Roman" w:hint="eastAsia"/>
          <w:sz w:val="24"/>
          <w:szCs w:val="24"/>
        </w:rPr>
        <w:t>金融</w:t>
      </w:r>
      <w:r>
        <w:rPr>
          <w:rFonts w:ascii="Times New Roman" w:eastAsia="宋体" w:hAnsi="Times New Roman" w:cs="Times New Roman"/>
          <w:sz w:val="24"/>
          <w:szCs w:val="24"/>
        </w:rPr>
        <w:t>体系带来前所未有的</w:t>
      </w:r>
      <w:r w:rsidR="00121B55" w:rsidRPr="00173C3E">
        <w:rPr>
          <w:rFonts w:ascii="Times New Roman" w:eastAsia="宋体" w:hAnsi="Times New Roman" w:cs="Times New Roman"/>
          <w:sz w:val="24"/>
          <w:szCs w:val="24"/>
        </w:rPr>
        <w:t>冲击</w:t>
      </w:r>
      <w:r w:rsidR="00E74643" w:rsidRPr="00173C3E">
        <w:rPr>
          <w:rFonts w:ascii="Times New Roman" w:eastAsia="宋体" w:hAnsi="Times New Roman" w:cs="Times New Roman"/>
          <w:sz w:val="24"/>
          <w:szCs w:val="24"/>
        </w:rPr>
        <w:t>。在数字金融中最典型的技术创新就是</w:t>
      </w:r>
      <w:r w:rsidR="006E5912" w:rsidRPr="00173C3E">
        <w:rPr>
          <w:rFonts w:ascii="Times New Roman" w:eastAsia="宋体" w:hAnsi="Times New Roman" w:cs="Times New Roman"/>
          <w:sz w:val="24"/>
          <w:szCs w:val="24"/>
        </w:rPr>
        <w:t>区块链技术</w:t>
      </w:r>
      <w:r w:rsidR="00851570" w:rsidRPr="00173C3E">
        <w:rPr>
          <w:rFonts w:ascii="Times New Roman" w:eastAsia="宋体" w:hAnsi="Times New Roman" w:cs="Times New Roman"/>
          <w:sz w:val="24"/>
          <w:szCs w:val="24"/>
        </w:rPr>
        <w:t>，</w:t>
      </w:r>
      <w:r>
        <w:rPr>
          <w:rFonts w:ascii="Times New Roman" w:eastAsia="宋体" w:hAnsi="Times New Roman" w:cs="Times New Roman" w:hint="eastAsia"/>
          <w:sz w:val="24"/>
          <w:szCs w:val="24"/>
        </w:rPr>
        <w:t>而</w:t>
      </w:r>
      <w:r w:rsidR="006E5912" w:rsidRPr="00173C3E">
        <w:rPr>
          <w:rFonts w:ascii="Times New Roman" w:eastAsia="宋体" w:hAnsi="Times New Roman" w:cs="Times New Roman"/>
          <w:sz w:val="24"/>
          <w:szCs w:val="24"/>
        </w:rPr>
        <w:t>以区块</w:t>
      </w:r>
      <w:r>
        <w:rPr>
          <w:rFonts w:ascii="Times New Roman" w:eastAsia="宋体" w:hAnsi="Times New Roman" w:cs="Times New Roman"/>
          <w:sz w:val="24"/>
          <w:szCs w:val="24"/>
        </w:rPr>
        <w:t>链技术支撑的数字资产可能成为国际货币金融体系最为显著的变量。</w:t>
      </w:r>
      <w:r>
        <w:rPr>
          <w:rFonts w:ascii="Times New Roman" w:eastAsia="宋体" w:hAnsi="Times New Roman" w:cs="Times New Roman" w:hint="eastAsia"/>
          <w:sz w:val="24"/>
          <w:szCs w:val="24"/>
        </w:rPr>
        <w:t>并且</w:t>
      </w:r>
      <w:r>
        <w:rPr>
          <w:rFonts w:ascii="Times New Roman" w:eastAsia="宋体" w:hAnsi="Times New Roman" w:cs="Times New Roman"/>
          <w:sz w:val="24"/>
          <w:szCs w:val="24"/>
        </w:rPr>
        <w:t>，区块链技术具有分布式的</w:t>
      </w:r>
      <w:r>
        <w:rPr>
          <w:rFonts w:ascii="Times New Roman" w:eastAsia="宋体" w:hAnsi="Times New Roman" w:cs="Times New Roman" w:hint="eastAsia"/>
          <w:sz w:val="24"/>
          <w:szCs w:val="24"/>
        </w:rPr>
        <w:t>内在</w:t>
      </w:r>
      <w:r w:rsidR="006E5912" w:rsidRPr="00173C3E">
        <w:rPr>
          <w:rFonts w:ascii="Times New Roman" w:eastAsia="宋体" w:hAnsi="Times New Roman" w:cs="Times New Roman"/>
          <w:sz w:val="24"/>
          <w:szCs w:val="24"/>
        </w:rPr>
        <w:t>属性，</w:t>
      </w:r>
      <w:r w:rsidR="00E74643" w:rsidRPr="00173C3E">
        <w:rPr>
          <w:rFonts w:ascii="Times New Roman" w:eastAsia="宋体" w:hAnsi="Times New Roman" w:cs="Times New Roman"/>
          <w:sz w:val="24"/>
          <w:szCs w:val="24"/>
        </w:rPr>
        <w:t>将</w:t>
      </w:r>
      <w:r w:rsidR="006E5912" w:rsidRPr="00173C3E">
        <w:rPr>
          <w:rFonts w:ascii="Times New Roman" w:eastAsia="宋体" w:hAnsi="Times New Roman" w:cs="Times New Roman"/>
          <w:sz w:val="24"/>
          <w:szCs w:val="24"/>
        </w:rPr>
        <w:t>挑战</w:t>
      </w:r>
      <w:r>
        <w:rPr>
          <w:rFonts w:ascii="Times New Roman" w:eastAsia="宋体" w:hAnsi="Times New Roman" w:cs="Times New Roman"/>
          <w:sz w:val="24"/>
          <w:szCs w:val="24"/>
        </w:rPr>
        <w:t>传统金融</w:t>
      </w:r>
      <w:r w:rsidR="00E74643" w:rsidRPr="00173C3E">
        <w:rPr>
          <w:rFonts w:ascii="Times New Roman" w:eastAsia="宋体" w:hAnsi="Times New Roman" w:cs="Times New Roman"/>
          <w:sz w:val="24"/>
          <w:szCs w:val="24"/>
        </w:rPr>
        <w:t>集中化经营、管理及监管的</w:t>
      </w:r>
      <w:r w:rsidR="006E5912" w:rsidRPr="00173C3E">
        <w:rPr>
          <w:rFonts w:ascii="Times New Roman" w:eastAsia="宋体" w:hAnsi="Times New Roman" w:cs="Times New Roman"/>
          <w:sz w:val="24"/>
          <w:szCs w:val="24"/>
        </w:rPr>
        <w:t>有效性</w:t>
      </w:r>
      <w:r w:rsidR="00E74643" w:rsidRPr="00173C3E">
        <w:rPr>
          <w:rFonts w:ascii="Times New Roman" w:eastAsia="宋体" w:hAnsi="Times New Roman" w:cs="Times New Roman"/>
          <w:sz w:val="24"/>
          <w:szCs w:val="24"/>
        </w:rPr>
        <w:t>。以银行业核心业务系统来说，集中式架构和分布式架构对关键信息基础设施的要求是不同的，</w:t>
      </w:r>
      <w:r w:rsidR="006E5912" w:rsidRPr="00173C3E">
        <w:rPr>
          <w:rFonts w:ascii="Times New Roman" w:eastAsia="宋体" w:hAnsi="Times New Roman" w:cs="Times New Roman"/>
          <w:sz w:val="24"/>
          <w:szCs w:val="24"/>
        </w:rPr>
        <w:t>对分布式经营管理模式及</w:t>
      </w:r>
      <w:r w:rsidR="00851570" w:rsidRPr="00173C3E">
        <w:rPr>
          <w:rFonts w:ascii="Times New Roman" w:eastAsia="宋体" w:hAnsi="Times New Roman" w:cs="Times New Roman"/>
          <w:sz w:val="24"/>
          <w:szCs w:val="24"/>
        </w:rPr>
        <w:t>金融监管</w:t>
      </w:r>
      <w:r>
        <w:rPr>
          <w:rFonts w:ascii="Times New Roman" w:eastAsia="宋体" w:hAnsi="Times New Roman" w:cs="Times New Roman" w:hint="eastAsia"/>
          <w:sz w:val="24"/>
          <w:szCs w:val="24"/>
        </w:rPr>
        <w:t>框架</w:t>
      </w:r>
      <w:r w:rsidR="006E5912" w:rsidRPr="00173C3E">
        <w:rPr>
          <w:rFonts w:ascii="Times New Roman" w:eastAsia="宋体" w:hAnsi="Times New Roman" w:cs="Times New Roman"/>
          <w:sz w:val="24"/>
          <w:szCs w:val="24"/>
        </w:rPr>
        <w:t>提出了新</w:t>
      </w:r>
      <w:r w:rsidR="00851570" w:rsidRPr="00173C3E">
        <w:rPr>
          <w:rFonts w:ascii="Times New Roman" w:eastAsia="宋体" w:hAnsi="Times New Roman" w:cs="Times New Roman"/>
          <w:sz w:val="24"/>
          <w:szCs w:val="24"/>
        </w:rPr>
        <w:t>要求</w:t>
      </w:r>
      <w:r w:rsidR="00E74643" w:rsidRPr="00173C3E">
        <w:rPr>
          <w:rFonts w:ascii="Times New Roman" w:eastAsia="宋体" w:hAnsi="Times New Roman" w:cs="Times New Roman"/>
          <w:sz w:val="24"/>
          <w:szCs w:val="24"/>
        </w:rPr>
        <w:t>。</w:t>
      </w:r>
      <w:r w:rsidR="00B336A0" w:rsidRPr="00173C3E">
        <w:rPr>
          <w:rFonts w:ascii="Times New Roman" w:eastAsia="宋体" w:hAnsi="Times New Roman" w:cs="Times New Roman"/>
          <w:sz w:val="24"/>
          <w:szCs w:val="24"/>
        </w:rPr>
        <w:t>鉴于美国是加密资产</w:t>
      </w:r>
      <w:r w:rsidR="005876FF" w:rsidRPr="00173C3E">
        <w:rPr>
          <w:rFonts w:ascii="Times New Roman" w:eastAsia="宋体" w:hAnsi="Times New Roman" w:cs="Times New Roman"/>
          <w:sz w:val="24"/>
          <w:szCs w:val="24"/>
        </w:rPr>
        <w:t>及底</w:t>
      </w:r>
      <w:r w:rsidR="00B336A0" w:rsidRPr="00173C3E">
        <w:rPr>
          <w:rFonts w:ascii="Times New Roman" w:eastAsia="宋体" w:hAnsi="Times New Roman" w:cs="Times New Roman"/>
          <w:sz w:val="24"/>
          <w:szCs w:val="24"/>
        </w:rPr>
        <w:t>层区块链技术的发源地，拥有全球最大规模加密货币储备，美国或已在数字金融</w:t>
      </w:r>
      <w:r w:rsidR="00B336A0" w:rsidRPr="00173C3E">
        <w:rPr>
          <w:rFonts w:ascii="Times New Roman" w:eastAsia="宋体" w:hAnsi="Times New Roman" w:cs="Times New Roman"/>
          <w:sz w:val="24"/>
          <w:szCs w:val="24"/>
        </w:rPr>
        <w:t>2.0</w:t>
      </w:r>
      <w:r w:rsidR="00B336A0" w:rsidRPr="00173C3E">
        <w:rPr>
          <w:rFonts w:ascii="Times New Roman" w:eastAsia="宋体" w:hAnsi="Times New Roman" w:cs="Times New Roman"/>
          <w:sz w:val="24"/>
          <w:szCs w:val="24"/>
        </w:rPr>
        <w:t>时代取得</w:t>
      </w:r>
      <w:r>
        <w:rPr>
          <w:rFonts w:ascii="Times New Roman" w:eastAsia="宋体" w:hAnsi="Times New Roman" w:cs="Times New Roman" w:hint="eastAsia"/>
          <w:sz w:val="24"/>
          <w:szCs w:val="24"/>
        </w:rPr>
        <w:t>一定的</w:t>
      </w:r>
      <w:r w:rsidR="00B336A0" w:rsidRPr="00173C3E">
        <w:rPr>
          <w:rFonts w:ascii="Times New Roman" w:eastAsia="宋体" w:hAnsi="Times New Roman" w:cs="Times New Roman"/>
          <w:sz w:val="24"/>
          <w:szCs w:val="24"/>
        </w:rPr>
        <w:t>领先地位。关键是，特朗普</w:t>
      </w:r>
      <w:r w:rsidR="00611341">
        <w:rPr>
          <w:rFonts w:ascii="Times New Roman" w:eastAsia="宋体" w:hAnsi="Times New Roman" w:cs="Times New Roman" w:hint="eastAsia"/>
          <w:sz w:val="24"/>
          <w:szCs w:val="24"/>
        </w:rPr>
        <w:t>就职</w:t>
      </w:r>
      <w:r w:rsidR="00B336A0" w:rsidRPr="00173C3E">
        <w:rPr>
          <w:rFonts w:ascii="Times New Roman" w:eastAsia="宋体" w:hAnsi="Times New Roman" w:cs="Times New Roman"/>
          <w:sz w:val="24"/>
          <w:szCs w:val="24"/>
        </w:rPr>
        <w:t>前夕发行了个人加密货币，且一</w:t>
      </w:r>
      <w:r w:rsidR="00611341">
        <w:rPr>
          <w:rFonts w:ascii="Times New Roman" w:eastAsia="宋体" w:hAnsi="Times New Roman" w:cs="Times New Roman" w:hint="eastAsia"/>
          <w:sz w:val="24"/>
          <w:szCs w:val="24"/>
        </w:rPr>
        <w:t>上任</w:t>
      </w:r>
      <w:r w:rsidR="00B336A0" w:rsidRPr="00173C3E">
        <w:rPr>
          <w:rFonts w:ascii="Times New Roman" w:eastAsia="宋体" w:hAnsi="Times New Roman" w:cs="Times New Roman"/>
          <w:sz w:val="24"/>
          <w:szCs w:val="24"/>
        </w:rPr>
        <w:t>就发布行政命令，</w:t>
      </w:r>
      <w:r>
        <w:rPr>
          <w:rFonts w:ascii="Times New Roman" w:eastAsia="宋体" w:hAnsi="Times New Roman" w:cs="Times New Roman"/>
          <w:sz w:val="24"/>
          <w:szCs w:val="24"/>
        </w:rPr>
        <w:t>目标</w:t>
      </w:r>
      <w:r>
        <w:rPr>
          <w:rFonts w:ascii="Times New Roman" w:eastAsia="宋体" w:hAnsi="Times New Roman" w:cs="Times New Roman" w:hint="eastAsia"/>
          <w:sz w:val="24"/>
          <w:szCs w:val="24"/>
        </w:rPr>
        <w:t>就是</w:t>
      </w:r>
      <w:r w:rsidR="001A1443" w:rsidRPr="00173C3E">
        <w:rPr>
          <w:rFonts w:ascii="Times New Roman" w:eastAsia="宋体" w:hAnsi="Times New Roman" w:cs="Times New Roman"/>
          <w:sz w:val="24"/>
          <w:szCs w:val="24"/>
        </w:rPr>
        <w:t>要强化美国在以数字金</w:t>
      </w:r>
      <w:r w:rsidR="001A1443" w:rsidRPr="00173C3E">
        <w:rPr>
          <w:rFonts w:ascii="Times New Roman" w:eastAsia="宋体" w:hAnsi="Times New Roman" w:cs="Times New Roman"/>
          <w:sz w:val="24"/>
          <w:szCs w:val="24"/>
        </w:rPr>
        <w:lastRenderedPageBreak/>
        <w:t>融技术的</w:t>
      </w:r>
      <w:r w:rsidR="00B336A0" w:rsidRPr="00173C3E">
        <w:rPr>
          <w:rFonts w:ascii="Times New Roman" w:eastAsia="宋体" w:hAnsi="Times New Roman" w:cs="Times New Roman"/>
          <w:sz w:val="24"/>
          <w:szCs w:val="24"/>
        </w:rPr>
        <w:t>全球领导力</w:t>
      </w:r>
      <w:r w:rsidR="00B336A0" w:rsidRPr="00173C3E">
        <w:rPr>
          <w:rStyle w:val="ab"/>
          <w:rFonts w:ascii="Times New Roman" w:eastAsia="宋体" w:hAnsi="Times New Roman" w:cs="Times New Roman"/>
          <w:sz w:val="24"/>
          <w:szCs w:val="24"/>
        </w:rPr>
        <w:footnoteReference w:id="5"/>
      </w:r>
      <w:r w:rsidR="00571050">
        <w:rPr>
          <w:rFonts w:ascii="Times New Roman" w:eastAsia="宋体" w:hAnsi="Times New Roman" w:cs="Times New Roman" w:hint="eastAsia"/>
          <w:sz w:val="24"/>
          <w:szCs w:val="24"/>
        </w:rPr>
        <w:t>。</w:t>
      </w:r>
      <w:r w:rsidR="00B336A0" w:rsidRPr="00173C3E">
        <w:rPr>
          <w:rFonts w:ascii="Times New Roman" w:eastAsia="宋体" w:hAnsi="Times New Roman" w:cs="Times New Roman"/>
          <w:sz w:val="24"/>
          <w:szCs w:val="24"/>
        </w:rPr>
        <w:t>该行政命令强调，将成立总统数字资产市场工作组并提出针对数字资产</w:t>
      </w:r>
      <w:r>
        <w:rPr>
          <w:rFonts w:ascii="Times New Roman" w:eastAsia="宋体" w:hAnsi="Times New Roman" w:cs="Times New Roman" w:hint="eastAsia"/>
          <w:sz w:val="24"/>
          <w:szCs w:val="24"/>
        </w:rPr>
        <w:t>的</w:t>
      </w:r>
      <w:r>
        <w:rPr>
          <w:rFonts w:ascii="Times New Roman" w:eastAsia="宋体" w:hAnsi="Times New Roman" w:cs="Times New Roman"/>
          <w:sz w:val="24"/>
          <w:szCs w:val="24"/>
        </w:rPr>
        <w:t>联邦监管框架，</w:t>
      </w:r>
      <w:r>
        <w:rPr>
          <w:rFonts w:ascii="Times New Roman" w:eastAsia="宋体" w:hAnsi="Times New Roman" w:cs="Times New Roman" w:hint="eastAsia"/>
          <w:sz w:val="24"/>
          <w:szCs w:val="24"/>
        </w:rPr>
        <w:t>且</w:t>
      </w:r>
      <w:r w:rsidR="00B336A0" w:rsidRPr="00173C3E">
        <w:rPr>
          <w:rFonts w:ascii="Times New Roman" w:eastAsia="宋体" w:hAnsi="Times New Roman" w:cs="Times New Roman"/>
          <w:sz w:val="24"/>
          <w:szCs w:val="24"/>
        </w:rPr>
        <w:t>要求研究国家数字资产储备的可行性及相应标准</w:t>
      </w:r>
      <w:r>
        <w:rPr>
          <w:rFonts w:ascii="Times New Roman" w:eastAsia="宋体" w:hAnsi="Times New Roman" w:cs="Times New Roman" w:hint="eastAsia"/>
          <w:sz w:val="24"/>
          <w:szCs w:val="24"/>
        </w:rPr>
        <w:t>。</w:t>
      </w:r>
      <w:r w:rsidR="001A1443" w:rsidRPr="00173C3E">
        <w:rPr>
          <w:rFonts w:ascii="Times New Roman" w:eastAsia="宋体" w:hAnsi="Times New Roman" w:cs="Times New Roman"/>
          <w:sz w:val="24"/>
          <w:szCs w:val="24"/>
        </w:rPr>
        <w:t>这些举措可能改变传统抵押品或储备资产的构成，将深刻影响金融市场运行机制和国际货币金融秩序</w:t>
      </w:r>
      <w:r w:rsidR="005876FF" w:rsidRPr="00173C3E">
        <w:rPr>
          <w:rFonts w:ascii="Times New Roman" w:eastAsia="宋体" w:hAnsi="Times New Roman" w:cs="Times New Roman"/>
          <w:sz w:val="24"/>
          <w:szCs w:val="24"/>
        </w:rPr>
        <w:t>。</w:t>
      </w:r>
      <w:r w:rsidR="00B336A0" w:rsidRPr="00173C3E">
        <w:rPr>
          <w:rFonts w:ascii="Times New Roman" w:eastAsia="宋体" w:hAnsi="Times New Roman" w:cs="Times New Roman"/>
          <w:sz w:val="24"/>
          <w:szCs w:val="24"/>
        </w:rPr>
        <w:t>此前，</w:t>
      </w:r>
      <w:r w:rsidR="000C181F" w:rsidRPr="00173C3E">
        <w:rPr>
          <w:rFonts w:ascii="Times New Roman" w:eastAsia="宋体" w:hAnsi="Times New Roman" w:cs="Times New Roman"/>
          <w:sz w:val="24"/>
          <w:szCs w:val="24"/>
        </w:rPr>
        <w:t>美国</w:t>
      </w:r>
      <w:r w:rsidR="00187691" w:rsidRPr="00173C3E">
        <w:rPr>
          <w:rFonts w:ascii="Times New Roman" w:eastAsia="宋体" w:hAnsi="Times New Roman" w:cs="Times New Roman"/>
          <w:sz w:val="24"/>
          <w:szCs w:val="24"/>
        </w:rPr>
        <w:t>比特币等</w:t>
      </w:r>
      <w:r w:rsidR="000C181F" w:rsidRPr="00173C3E">
        <w:rPr>
          <w:rFonts w:ascii="Times New Roman" w:eastAsia="宋体" w:hAnsi="Times New Roman" w:cs="Times New Roman"/>
          <w:sz w:val="24"/>
          <w:szCs w:val="24"/>
        </w:rPr>
        <w:t>上演的加密</w:t>
      </w:r>
      <w:r w:rsidR="00B336A0" w:rsidRPr="00173C3E">
        <w:rPr>
          <w:rFonts w:ascii="Times New Roman" w:eastAsia="宋体" w:hAnsi="Times New Roman" w:cs="Times New Roman"/>
          <w:sz w:val="24"/>
          <w:szCs w:val="24"/>
        </w:rPr>
        <w:t>资产</w:t>
      </w:r>
      <w:r w:rsidR="000C181F" w:rsidRPr="00173C3E">
        <w:rPr>
          <w:rFonts w:ascii="Times New Roman" w:eastAsia="宋体" w:hAnsi="Times New Roman" w:cs="Times New Roman"/>
          <w:sz w:val="24"/>
          <w:szCs w:val="24"/>
        </w:rPr>
        <w:t>价格</w:t>
      </w:r>
      <w:r w:rsidR="000C181F" w:rsidRPr="005D577A">
        <w:rPr>
          <w:rFonts w:ascii="宋体" w:eastAsia="宋体" w:hAnsi="宋体" w:cs="Times New Roman"/>
          <w:sz w:val="24"/>
          <w:szCs w:val="24"/>
        </w:rPr>
        <w:t>波动“闹剧”可能使其他国家弱化了对</w:t>
      </w:r>
      <w:r w:rsidR="00187691" w:rsidRPr="005D577A">
        <w:rPr>
          <w:rFonts w:ascii="宋体" w:eastAsia="宋体" w:hAnsi="宋体" w:cs="Times New Roman"/>
          <w:sz w:val="24"/>
          <w:szCs w:val="24"/>
        </w:rPr>
        <w:t>数字资产的关注，也缺乏对数字资产对</w:t>
      </w:r>
      <w:r w:rsidR="000C181F" w:rsidRPr="005D577A">
        <w:rPr>
          <w:rFonts w:ascii="宋体" w:eastAsia="宋体" w:hAnsi="宋体" w:cs="Times New Roman"/>
          <w:sz w:val="24"/>
          <w:szCs w:val="24"/>
        </w:rPr>
        <w:t>国际货币金融体系</w:t>
      </w:r>
      <w:r w:rsidR="00187691" w:rsidRPr="005D577A">
        <w:rPr>
          <w:rFonts w:ascii="宋体" w:eastAsia="宋体" w:hAnsi="宋体" w:cs="Times New Roman"/>
          <w:sz w:val="24"/>
          <w:szCs w:val="24"/>
        </w:rPr>
        <w:t>影响</w:t>
      </w:r>
      <w:r w:rsidR="000C181F" w:rsidRPr="005D577A">
        <w:rPr>
          <w:rFonts w:ascii="宋体" w:eastAsia="宋体" w:hAnsi="宋体" w:cs="Times New Roman"/>
          <w:sz w:val="24"/>
          <w:szCs w:val="24"/>
        </w:rPr>
        <w:t>的技术跟踪</w:t>
      </w:r>
      <w:r w:rsidR="00187691" w:rsidRPr="005D577A">
        <w:rPr>
          <w:rFonts w:ascii="宋体" w:eastAsia="宋体" w:hAnsi="宋体" w:cs="Times New Roman"/>
          <w:sz w:val="24"/>
          <w:szCs w:val="24"/>
        </w:rPr>
        <w:t>、机制分析</w:t>
      </w:r>
      <w:r>
        <w:rPr>
          <w:rFonts w:ascii="宋体" w:eastAsia="宋体" w:hAnsi="宋体" w:cs="Times New Roman"/>
          <w:sz w:val="24"/>
          <w:szCs w:val="24"/>
        </w:rPr>
        <w:t>和政策</w:t>
      </w:r>
      <w:r>
        <w:rPr>
          <w:rFonts w:ascii="宋体" w:eastAsia="宋体" w:hAnsi="宋体" w:cs="Times New Roman" w:hint="eastAsia"/>
          <w:sz w:val="24"/>
          <w:szCs w:val="24"/>
        </w:rPr>
        <w:t>调整</w:t>
      </w:r>
      <w:r w:rsidR="00B336A0" w:rsidRPr="005D577A">
        <w:rPr>
          <w:rFonts w:ascii="宋体" w:eastAsia="宋体" w:hAnsi="宋体" w:cs="Times New Roman"/>
          <w:sz w:val="24"/>
          <w:szCs w:val="24"/>
        </w:rPr>
        <w:t>。</w:t>
      </w:r>
      <w:r w:rsidR="00187691" w:rsidRPr="005D577A">
        <w:rPr>
          <w:rFonts w:ascii="宋体" w:eastAsia="宋体" w:hAnsi="宋体" w:cs="Times New Roman"/>
          <w:sz w:val="24"/>
          <w:szCs w:val="24"/>
        </w:rPr>
        <w:t>实际上，加密资产只是数字资产的</w:t>
      </w:r>
      <w:r>
        <w:rPr>
          <w:rFonts w:ascii="宋体" w:eastAsia="宋体" w:hAnsi="宋体" w:cs="Times New Roman" w:hint="eastAsia"/>
          <w:sz w:val="24"/>
          <w:szCs w:val="24"/>
        </w:rPr>
        <w:t>一个领域</w:t>
      </w:r>
      <w:r w:rsidR="00B23871" w:rsidRPr="005D577A">
        <w:rPr>
          <w:rFonts w:ascii="宋体" w:eastAsia="宋体" w:hAnsi="宋体" w:cs="Times New Roman"/>
          <w:sz w:val="24"/>
          <w:szCs w:val="24"/>
        </w:rPr>
        <w:t>，</w:t>
      </w:r>
      <w:r w:rsidR="00720631" w:rsidRPr="005D577A">
        <w:rPr>
          <w:rFonts w:ascii="宋体" w:eastAsia="宋体" w:hAnsi="宋体" w:cs="Times New Roman"/>
          <w:sz w:val="24"/>
          <w:szCs w:val="24"/>
        </w:rPr>
        <w:t>在其他</w:t>
      </w:r>
      <w:r w:rsidR="000C181F" w:rsidRPr="005D577A">
        <w:rPr>
          <w:rFonts w:ascii="宋体" w:eastAsia="宋体" w:hAnsi="宋体" w:cs="Times New Roman"/>
          <w:sz w:val="24"/>
          <w:szCs w:val="24"/>
        </w:rPr>
        <w:t>经济体</w:t>
      </w:r>
      <w:r w:rsidR="005067AB" w:rsidRPr="005D577A">
        <w:rPr>
          <w:rFonts w:ascii="宋体" w:eastAsia="宋体" w:hAnsi="宋体" w:cs="Times New Roman"/>
          <w:sz w:val="24"/>
          <w:szCs w:val="24"/>
        </w:rPr>
        <w:t>还在讨论加密资产发展可行性</w:t>
      </w:r>
      <w:r w:rsidR="00A57ACE" w:rsidRPr="005D577A">
        <w:rPr>
          <w:rFonts w:ascii="宋体" w:eastAsia="宋体" w:hAnsi="宋体" w:cs="Times New Roman"/>
          <w:sz w:val="24"/>
          <w:szCs w:val="24"/>
        </w:rPr>
        <w:t>的时候，</w:t>
      </w:r>
      <w:r w:rsidR="001A1443" w:rsidRPr="005D577A">
        <w:rPr>
          <w:rFonts w:ascii="宋体" w:eastAsia="宋体" w:hAnsi="宋体" w:cs="Times New Roman"/>
          <w:sz w:val="24"/>
          <w:szCs w:val="24"/>
        </w:rPr>
        <w:t>美国可能已经取</w:t>
      </w:r>
      <w:r w:rsidR="001A1443" w:rsidRPr="00173C3E">
        <w:rPr>
          <w:rFonts w:ascii="Times New Roman" w:eastAsia="宋体" w:hAnsi="Times New Roman" w:cs="Times New Roman"/>
          <w:sz w:val="24"/>
          <w:szCs w:val="24"/>
        </w:rPr>
        <w:t>得先机，并且</w:t>
      </w:r>
      <w:r w:rsidR="00B336A0" w:rsidRPr="00173C3E">
        <w:rPr>
          <w:rFonts w:ascii="Times New Roman" w:eastAsia="宋体" w:hAnsi="Times New Roman" w:cs="Times New Roman"/>
          <w:sz w:val="24"/>
          <w:szCs w:val="24"/>
        </w:rPr>
        <w:t>在特朗普的推动之下</w:t>
      </w:r>
      <w:r w:rsidR="001A1443" w:rsidRPr="00173C3E">
        <w:rPr>
          <w:rFonts w:ascii="Times New Roman" w:eastAsia="宋体" w:hAnsi="Times New Roman" w:cs="Times New Roman"/>
          <w:sz w:val="24"/>
          <w:szCs w:val="24"/>
        </w:rPr>
        <w:t>将</w:t>
      </w:r>
      <w:r w:rsidR="00B336A0" w:rsidRPr="00173C3E">
        <w:rPr>
          <w:rFonts w:ascii="Times New Roman" w:eastAsia="宋体" w:hAnsi="Times New Roman" w:cs="Times New Roman"/>
          <w:sz w:val="24"/>
          <w:szCs w:val="24"/>
        </w:rPr>
        <w:t>进一步强化</w:t>
      </w:r>
      <w:r w:rsidR="00CB042A">
        <w:rPr>
          <w:rFonts w:ascii="Times New Roman" w:eastAsia="宋体" w:hAnsi="Times New Roman" w:cs="Times New Roman" w:hint="eastAsia"/>
          <w:sz w:val="24"/>
          <w:szCs w:val="24"/>
        </w:rPr>
        <w:t>领先</w:t>
      </w:r>
      <w:r w:rsidR="00B336A0" w:rsidRPr="00173C3E">
        <w:rPr>
          <w:rFonts w:ascii="Times New Roman" w:eastAsia="宋体" w:hAnsi="Times New Roman" w:cs="Times New Roman"/>
          <w:sz w:val="24"/>
          <w:szCs w:val="24"/>
        </w:rPr>
        <w:t>优势</w:t>
      </w:r>
      <w:r w:rsidR="000C181F" w:rsidRPr="00173C3E">
        <w:rPr>
          <w:rFonts w:ascii="Times New Roman" w:eastAsia="宋体" w:hAnsi="Times New Roman" w:cs="Times New Roman"/>
          <w:sz w:val="24"/>
          <w:szCs w:val="24"/>
        </w:rPr>
        <w:t>。</w:t>
      </w:r>
    </w:p>
    <w:p w14:paraId="05BA5248" w14:textId="77777777" w:rsidR="00532AC9" w:rsidRPr="003F65F9" w:rsidRDefault="00F40FD3" w:rsidP="00AF0AF5">
      <w:pPr>
        <w:adjustRightInd w:val="0"/>
        <w:snapToGrid w:val="0"/>
        <w:spacing w:before="100" w:beforeAutospacing="1" w:after="100" w:afterAutospacing="1" w:line="360" w:lineRule="auto"/>
        <w:ind w:firstLineChars="200" w:firstLine="480"/>
        <w:contextualSpacing/>
        <w:rPr>
          <w:rFonts w:ascii="宋体" w:eastAsia="宋体" w:hAnsi="宋体" w:cs="Times New Roman"/>
          <w:sz w:val="24"/>
          <w:szCs w:val="24"/>
        </w:rPr>
      </w:pPr>
      <w:r w:rsidRPr="003F65F9">
        <w:rPr>
          <w:rFonts w:ascii="宋体" w:eastAsia="宋体" w:hAnsi="宋体" w:cs="Times New Roman"/>
          <w:sz w:val="24"/>
          <w:szCs w:val="24"/>
        </w:rPr>
        <w:t>（三）</w:t>
      </w:r>
      <w:r w:rsidR="008D2799" w:rsidRPr="003F65F9">
        <w:rPr>
          <w:rFonts w:ascii="宋体" w:eastAsia="宋体" w:hAnsi="宋体" w:cs="Times New Roman"/>
          <w:sz w:val="24"/>
          <w:szCs w:val="24"/>
        </w:rPr>
        <w:t>继续放松</w:t>
      </w:r>
      <w:r w:rsidRPr="003F65F9">
        <w:rPr>
          <w:rFonts w:ascii="宋体" w:eastAsia="宋体" w:hAnsi="宋体" w:cs="Times New Roman"/>
          <w:sz w:val="24"/>
          <w:szCs w:val="24"/>
        </w:rPr>
        <w:t>金融监管</w:t>
      </w:r>
    </w:p>
    <w:p w14:paraId="2A550BEE" w14:textId="2B8A7444" w:rsidR="00532AC9" w:rsidRPr="00173C3E" w:rsidRDefault="00F76832" w:rsidP="00AF0AF5">
      <w:pPr>
        <w:adjustRightInd w:val="0"/>
        <w:snapToGrid w:val="0"/>
        <w:spacing w:before="100" w:beforeAutospacing="1" w:after="100" w:afterAutospacing="1" w:line="360" w:lineRule="auto"/>
        <w:ind w:firstLineChars="200" w:firstLine="480"/>
        <w:contextualSpacing/>
        <w:rPr>
          <w:rStyle w:val="content-right1thtn1"/>
          <w:rFonts w:ascii="Times New Roman" w:eastAsia="宋体" w:hAnsi="Times New Roman" w:cs="Times New Roman"/>
          <w:sz w:val="24"/>
          <w:szCs w:val="24"/>
        </w:rPr>
      </w:pPr>
      <w:r w:rsidRPr="00173C3E">
        <w:rPr>
          <w:rFonts w:ascii="Times New Roman" w:eastAsia="宋体" w:hAnsi="Times New Roman" w:cs="Times New Roman"/>
          <w:sz w:val="24"/>
          <w:szCs w:val="24"/>
        </w:rPr>
        <w:t>在第一个任期中</w:t>
      </w:r>
      <w:r w:rsidR="00F40FD3" w:rsidRPr="00173C3E">
        <w:rPr>
          <w:rFonts w:ascii="Times New Roman" w:eastAsia="宋体" w:hAnsi="Times New Roman" w:cs="Times New Roman"/>
          <w:sz w:val="24"/>
          <w:szCs w:val="24"/>
        </w:rPr>
        <w:t>，</w:t>
      </w:r>
      <w:r w:rsidRPr="00173C3E">
        <w:rPr>
          <w:rFonts w:ascii="Times New Roman" w:eastAsia="宋体" w:hAnsi="Times New Roman" w:cs="Times New Roman"/>
          <w:sz w:val="24"/>
          <w:szCs w:val="24"/>
        </w:rPr>
        <w:t>特朗普政府以提升美国金融体系全球竞争力为由，较大幅度地放松了</w:t>
      </w:r>
      <w:r w:rsidR="00F40FD3" w:rsidRPr="00173C3E">
        <w:rPr>
          <w:rFonts w:ascii="Times New Roman" w:eastAsia="宋体" w:hAnsi="Times New Roman" w:cs="Times New Roman"/>
          <w:sz w:val="24"/>
          <w:szCs w:val="24"/>
        </w:rPr>
        <w:t>金融监管</w:t>
      </w:r>
      <w:r w:rsidR="00AD1FDD" w:rsidRPr="00173C3E">
        <w:rPr>
          <w:rFonts w:ascii="Times New Roman" w:eastAsia="宋体" w:hAnsi="Times New Roman" w:cs="Times New Roman"/>
          <w:sz w:val="24"/>
          <w:szCs w:val="24"/>
        </w:rPr>
        <w:t>标准</w:t>
      </w:r>
      <w:r w:rsidRPr="00173C3E">
        <w:rPr>
          <w:rFonts w:ascii="Times New Roman" w:eastAsia="宋体" w:hAnsi="Times New Roman" w:cs="Times New Roman"/>
          <w:sz w:val="24"/>
          <w:szCs w:val="24"/>
        </w:rPr>
        <w:t>，</w:t>
      </w:r>
      <w:r w:rsidR="008D2799" w:rsidRPr="00173C3E">
        <w:rPr>
          <w:rFonts w:ascii="Times New Roman" w:eastAsia="宋体" w:hAnsi="Times New Roman" w:cs="Times New Roman"/>
          <w:sz w:val="24"/>
          <w:szCs w:val="24"/>
        </w:rPr>
        <w:t>而</w:t>
      </w:r>
      <w:r w:rsidR="00F40FD3" w:rsidRPr="00173C3E">
        <w:rPr>
          <w:rStyle w:val="content-right1thtn1"/>
          <w:rFonts w:ascii="Times New Roman" w:eastAsia="宋体" w:hAnsi="Times New Roman" w:cs="Times New Roman"/>
          <w:sz w:val="24"/>
          <w:szCs w:val="24"/>
        </w:rPr>
        <w:t>金融监管放松被认为是</w:t>
      </w:r>
      <w:r w:rsidR="00F40FD3" w:rsidRPr="00173C3E">
        <w:rPr>
          <w:rStyle w:val="content-right1thtn1"/>
          <w:rFonts w:ascii="Times New Roman" w:eastAsia="宋体" w:hAnsi="Times New Roman" w:cs="Times New Roman"/>
          <w:sz w:val="24"/>
          <w:szCs w:val="24"/>
        </w:rPr>
        <w:t>2023</w:t>
      </w:r>
      <w:r w:rsidR="00F40FD3" w:rsidRPr="00173C3E">
        <w:rPr>
          <w:rStyle w:val="content-right1thtn1"/>
          <w:rFonts w:ascii="Times New Roman" w:eastAsia="宋体" w:hAnsi="Times New Roman" w:cs="Times New Roman"/>
          <w:sz w:val="24"/>
          <w:szCs w:val="24"/>
        </w:rPr>
        <w:t>年美欧银行业危机的根源之一。由于美联储等监管机构启</w:t>
      </w:r>
      <w:r w:rsidR="00F40FD3" w:rsidRPr="005C598A">
        <w:rPr>
          <w:rStyle w:val="content-right1thtn1"/>
          <w:rFonts w:ascii="宋体" w:eastAsia="宋体" w:hAnsi="宋体" w:cs="Times New Roman"/>
          <w:sz w:val="24"/>
          <w:szCs w:val="24"/>
        </w:rPr>
        <w:t>用“系统性风险例外条款”，美欧银行业风</w:t>
      </w:r>
      <w:r w:rsidR="00F40FD3" w:rsidRPr="00173C3E">
        <w:rPr>
          <w:rStyle w:val="content-right1thtn1"/>
          <w:rFonts w:ascii="Times New Roman" w:eastAsia="宋体" w:hAnsi="Times New Roman" w:cs="Times New Roman"/>
          <w:sz w:val="24"/>
          <w:szCs w:val="24"/>
        </w:rPr>
        <w:t>险很快被有效处置</w:t>
      </w:r>
      <w:r w:rsidR="0055404C" w:rsidRPr="00173C3E">
        <w:rPr>
          <w:rStyle w:val="content-right1thtn1"/>
          <w:rFonts w:ascii="Times New Roman" w:eastAsia="宋体" w:hAnsi="Times New Roman" w:cs="Times New Roman"/>
          <w:sz w:val="24"/>
          <w:szCs w:val="24"/>
        </w:rPr>
        <w:t>，</w:t>
      </w:r>
      <w:r w:rsidR="00F40FD3" w:rsidRPr="00173C3E">
        <w:rPr>
          <w:rStyle w:val="content-right1thtn1"/>
          <w:rFonts w:ascii="Times New Roman" w:eastAsia="宋体" w:hAnsi="Times New Roman" w:cs="Times New Roman"/>
          <w:sz w:val="24"/>
          <w:szCs w:val="24"/>
        </w:rPr>
        <w:t>但是，</w:t>
      </w:r>
      <w:r w:rsidR="00F40FD3" w:rsidRPr="00173C3E">
        <w:rPr>
          <w:rStyle w:val="content-right1thtn1"/>
          <w:rFonts w:ascii="Times New Roman" w:eastAsia="宋体" w:hAnsi="Times New Roman" w:cs="Times New Roman"/>
          <w:sz w:val="24"/>
          <w:szCs w:val="24"/>
        </w:rPr>
        <w:t>2023</w:t>
      </w:r>
      <w:r w:rsidR="00F40FD3" w:rsidRPr="00173C3E">
        <w:rPr>
          <w:rStyle w:val="content-right1thtn1"/>
          <w:rFonts w:ascii="Times New Roman" w:eastAsia="宋体" w:hAnsi="Times New Roman" w:cs="Times New Roman"/>
          <w:sz w:val="24"/>
          <w:szCs w:val="24"/>
        </w:rPr>
        <w:t>年</w:t>
      </w:r>
      <w:r w:rsidR="00F40FD3" w:rsidRPr="00173C3E">
        <w:rPr>
          <w:rStyle w:val="content-right1thtn1"/>
          <w:rFonts w:ascii="Times New Roman" w:eastAsia="宋体" w:hAnsi="Times New Roman" w:cs="Times New Roman"/>
          <w:sz w:val="24"/>
          <w:szCs w:val="24"/>
        </w:rPr>
        <w:t>7</w:t>
      </w:r>
      <w:r w:rsidR="002B166E">
        <w:rPr>
          <w:rStyle w:val="content-right1thtn1"/>
          <w:rFonts w:ascii="Times New Roman" w:eastAsia="宋体" w:hAnsi="Times New Roman" w:cs="Times New Roman"/>
          <w:sz w:val="24"/>
          <w:szCs w:val="24"/>
        </w:rPr>
        <w:t>月</w:t>
      </w:r>
      <w:r w:rsidR="00F40FD3" w:rsidRPr="00173C3E">
        <w:rPr>
          <w:rStyle w:val="content-right1thtn1"/>
          <w:rFonts w:ascii="Times New Roman" w:eastAsia="宋体" w:hAnsi="Times New Roman" w:cs="Times New Roman"/>
          <w:sz w:val="24"/>
          <w:szCs w:val="24"/>
        </w:rPr>
        <w:t>美联储、美国联邦存款保险公司等金融监管机构出台了强化</w:t>
      </w:r>
      <w:r w:rsidR="002B166E">
        <w:rPr>
          <w:rStyle w:val="content-right1thtn1"/>
          <w:rFonts w:ascii="Times New Roman" w:eastAsia="宋体" w:hAnsi="Times New Roman" w:cs="Times New Roman" w:hint="eastAsia"/>
          <w:sz w:val="24"/>
          <w:szCs w:val="24"/>
        </w:rPr>
        <w:t>美国</w:t>
      </w:r>
      <w:r w:rsidR="00F40FD3" w:rsidRPr="00173C3E">
        <w:rPr>
          <w:rStyle w:val="content-right1thtn1"/>
          <w:rFonts w:ascii="Times New Roman" w:eastAsia="宋体" w:hAnsi="Times New Roman" w:cs="Times New Roman"/>
          <w:sz w:val="24"/>
          <w:szCs w:val="24"/>
        </w:rPr>
        <w:t>银行</w:t>
      </w:r>
      <w:r w:rsidR="002B166E">
        <w:rPr>
          <w:rStyle w:val="content-right1thtn1"/>
          <w:rFonts w:ascii="Times New Roman" w:eastAsia="宋体" w:hAnsi="Times New Roman" w:cs="Times New Roman" w:hint="eastAsia"/>
          <w:sz w:val="24"/>
          <w:szCs w:val="24"/>
        </w:rPr>
        <w:t>业</w:t>
      </w:r>
      <w:r w:rsidR="00F40FD3" w:rsidRPr="00173C3E">
        <w:rPr>
          <w:rStyle w:val="content-right1thtn1"/>
          <w:rFonts w:ascii="Times New Roman" w:eastAsia="宋体" w:hAnsi="Times New Roman" w:cs="Times New Roman"/>
          <w:sz w:val="24"/>
          <w:szCs w:val="24"/>
        </w:rPr>
        <w:t>监管的改革方案</w:t>
      </w:r>
      <w:r w:rsidR="0055404C" w:rsidRPr="00173C3E">
        <w:rPr>
          <w:rStyle w:val="content-right1thtn1"/>
          <w:rFonts w:ascii="Times New Roman" w:eastAsia="宋体" w:hAnsi="Times New Roman" w:cs="Times New Roman"/>
          <w:sz w:val="24"/>
          <w:szCs w:val="24"/>
        </w:rPr>
        <w:t>。加强金融监管的</w:t>
      </w:r>
      <w:r w:rsidR="00F40FD3" w:rsidRPr="00173C3E">
        <w:rPr>
          <w:rStyle w:val="content-right1thtn1"/>
          <w:rFonts w:ascii="Times New Roman" w:eastAsia="宋体" w:hAnsi="Times New Roman" w:cs="Times New Roman"/>
          <w:sz w:val="24"/>
          <w:szCs w:val="24"/>
        </w:rPr>
        <w:t>核心</w:t>
      </w:r>
      <w:r w:rsidR="0055404C" w:rsidRPr="00173C3E">
        <w:rPr>
          <w:rStyle w:val="content-right1thtn1"/>
          <w:rFonts w:ascii="Times New Roman" w:eastAsia="宋体" w:hAnsi="Times New Roman" w:cs="Times New Roman"/>
          <w:sz w:val="24"/>
          <w:szCs w:val="24"/>
        </w:rPr>
        <w:t>举措</w:t>
      </w:r>
      <w:r w:rsidR="00F40FD3" w:rsidRPr="00173C3E">
        <w:rPr>
          <w:rStyle w:val="content-right1thtn1"/>
          <w:rFonts w:ascii="Times New Roman" w:eastAsia="宋体" w:hAnsi="Times New Roman" w:cs="Times New Roman"/>
          <w:sz w:val="24"/>
          <w:szCs w:val="24"/>
        </w:rPr>
        <w:t>在于改进风险加强资产、资本计量、压力测试和会计准则等</w:t>
      </w:r>
      <w:r w:rsidR="000E2DC4" w:rsidRPr="00173C3E">
        <w:rPr>
          <w:rStyle w:val="ab"/>
          <w:rFonts w:ascii="Times New Roman" w:eastAsia="宋体" w:hAnsi="Times New Roman" w:cs="Times New Roman"/>
          <w:sz w:val="24"/>
          <w:szCs w:val="24"/>
        </w:rPr>
        <w:footnoteReference w:id="6"/>
      </w:r>
      <w:r w:rsidR="000E2DC4" w:rsidRPr="00173C3E" w:rsidDel="000E2DC4">
        <w:rPr>
          <w:rStyle w:val="content-right1thtn1"/>
          <w:rFonts w:ascii="Times New Roman" w:eastAsia="宋体" w:hAnsi="Times New Roman" w:cs="Times New Roman"/>
          <w:sz w:val="24"/>
          <w:szCs w:val="24"/>
        </w:rPr>
        <w:t xml:space="preserve"> </w:t>
      </w:r>
      <w:r w:rsidR="00F40FD3" w:rsidRPr="00173C3E">
        <w:rPr>
          <w:rStyle w:val="content-right1thtn1"/>
          <w:rFonts w:ascii="Times New Roman" w:eastAsia="宋体" w:hAnsi="Times New Roman" w:cs="Times New Roman"/>
          <w:sz w:val="24"/>
          <w:szCs w:val="24"/>
        </w:rPr>
        <w:t>。</w:t>
      </w:r>
      <w:r w:rsidR="00263A40">
        <w:rPr>
          <w:rStyle w:val="content-right1thtn1"/>
          <w:rFonts w:ascii="Times New Roman" w:eastAsia="宋体" w:hAnsi="Times New Roman" w:cs="Times New Roman" w:hint="eastAsia"/>
          <w:sz w:val="24"/>
          <w:szCs w:val="24"/>
        </w:rPr>
        <w:t>值得注意的是</w:t>
      </w:r>
      <w:r w:rsidR="00F40FD3" w:rsidRPr="00173C3E">
        <w:rPr>
          <w:rStyle w:val="content-right1thtn1"/>
          <w:rFonts w:ascii="Times New Roman" w:eastAsia="宋体" w:hAnsi="Times New Roman" w:cs="Times New Roman"/>
          <w:sz w:val="24"/>
          <w:szCs w:val="24"/>
        </w:rPr>
        <w:t>，该改革方案征求公众意见从</w:t>
      </w:r>
      <w:r w:rsidR="00F40FD3" w:rsidRPr="00173C3E">
        <w:rPr>
          <w:rStyle w:val="content-right1thtn1"/>
          <w:rFonts w:ascii="Times New Roman" w:eastAsia="宋体" w:hAnsi="Times New Roman" w:cs="Times New Roman"/>
          <w:sz w:val="24"/>
          <w:szCs w:val="24"/>
        </w:rPr>
        <w:t>2023</w:t>
      </w:r>
      <w:r w:rsidR="00F40FD3" w:rsidRPr="00173C3E">
        <w:rPr>
          <w:rStyle w:val="content-right1thtn1"/>
          <w:rFonts w:ascii="Times New Roman" w:eastAsia="宋体" w:hAnsi="Times New Roman" w:cs="Times New Roman"/>
          <w:sz w:val="24"/>
          <w:szCs w:val="24"/>
        </w:rPr>
        <w:t>年</w:t>
      </w:r>
      <w:r w:rsidR="00F40FD3" w:rsidRPr="00173C3E">
        <w:rPr>
          <w:rStyle w:val="content-right1thtn1"/>
          <w:rFonts w:ascii="Times New Roman" w:eastAsia="宋体" w:hAnsi="Times New Roman" w:cs="Times New Roman"/>
          <w:sz w:val="24"/>
          <w:szCs w:val="24"/>
        </w:rPr>
        <w:t>11</w:t>
      </w:r>
      <w:r w:rsidR="00F40FD3" w:rsidRPr="00173C3E">
        <w:rPr>
          <w:rStyle w:val="content-right1thtn1"/>
          <w:rFonts w:ascii="Times New Roman" w:eastAsia="宋体" w:hAnsi="Times New Roman" w:cs="Times New Roman"/>
          <w:sz w:val="24"/>
          <w:szCs w:val="24"/>
        </w:rPr>
        <w:t>月</w:t>
      </w:r>
      <w:r w:rsidR="00F40FD3" w:rsidRPr="00173C3E">
        <w:rPr>
          <w:rStyle w:val="content-right1thtn1"/>
          <w:rFonts w:ascii="Times New Roman" w:eastAsia="宋体" w:hAnsi="Times New Roman" w:cs="Times New Roman"/>
          <w:sz w:val="24"/>
          <w:szCs w:val="24"/>
        </w:rPr>
        <w:t>31</w:t>
      </w:r>
      <w:r w:rsidR="00F40FD3" w:rsidRPr="00173C3E">
        <w:rPr>
          <w:rStyle w:val="content-right1thtn1"/>
          <w:rFonts w:ascii="Times New Roman" w:eastAsia="宋体" w:hAnsi="Times New Roman" w:cs="Times New Roman"/>
          <w:sz w:val="24"/>
          <w:szCs w:val="24"/>
        </w:rPr>
        <w:t>日延长至</w:t>
      </w:r>
      <w:r w:rsidR="00F40FD3" w:rsidRPr="00173C3E">
        <w:rPr>
          <w:rStyle w:val="content-right1thtn1"/>
          <w:rFonts w:ascii="Times New Roman" w:eastAsia="宋体" w:hAnsi="Times New Roman" w:cs="Times New Roman"/>
          <w:sz w:val="24"/>
          <w:szCs w:val="24"/>
        </w:rPr>
        <w:t>2024</w:t>
      </w:r>
      <w:r w:rsidR="00F40FD3" w:rsidRPr="00173C3E">
        <w:rPr>
          <w:rStyle w:val="content-right1thtn1"/>
          <w:rFonts w:ascii="Times New Roman" w:eastAsia="宋体" w:hAnsi="Times New Roman" w:cs="Times New Roman"/>
          <w:sz w:val="24"/>
          <w:szCs w:val="24"/>
        </w:rPr>
        <w:t>年</w:t>
      </w:r>
      <w:r w:rsidR="00F40FD3" w:rsidRPr="00173C3E">
        <w:rPr>
          <w:rStyle w:val="content-right1thtn1"/>
          <w:rFonts w:ascii="Times New Roman" w:eastAsia="宋体" w:hAnsi="Times New Roman" w:cs="Times New Roman"/>
          <w:sz w:val="24"/>
          <w:szCs w:val="24"/>
        </w:rPr>
        <w:t>1</w:t>
      </w:r>
      <w:r w:rsidR="00F40FD3" w:rsidRPr="00173C3E">
        <w:rPr>
          <w:rStyle w:val="content-right1thtn1"/>
          <w:rFonts w:ascii="Times New Roman" w:eastAsia="宋体" w:hAnsi="Times New Roman" w:cs="Times New Roman"/>
          <w:sz w:val="24"/>
          <w:szCs w:val="24"/>
        </w:rPr>
        <w:t>月</w:t>
      </w:r>
      <w:r w:rsidR="00F40FD3" w:rsidRPr="00173C3E">
        <w:rPr>
          <w:rStyle w:val="content-right1thtn1"/>
          <w:rFonts w:ascii="Times New Roman" w:eastAsia="宋体" w:hAnsi="Times New Roman" w:cs="Times New Roman"/>
          <w:sz w:val="24"/>
          <w:szCs w:val="24"/>
        </w:rPr>
        <w:t>16</w:t>
      </w:r>
      <w:r w:rsidR="00F40FD3" w:rsidRPr="00173C3E">
        <w:rPr>
          <w:rStyle w:val="content-right1thtn1"/>
          <w:rFonts w:ascii="Times New Roman" w:eastAsia="宋体" w:hAnsi="Times New Roman" w:cs="Times New Roman"/>
          <w:sz w:val="24"/>
          <w:szCs w:val="24"/>
        </w:rPr>
        <w:t>日，</w:t>
      </w:r>
      <w:r w:rsidR="002B166E">
        <w:rPr>
          <w:rStyle w:val="content-right1thtn1"/>
          <w:rFonts w:ascii="Times New Roman" w:eastAsia="宋体" w:hAnsi="Times New Roman" w:cs="Times New Roman" w:hint="eastAsia"/>
          <w:sz w:val="24"/>
          <w:szCs w:val="24"/>
        </w:rPr>
        <w:t>但是，</w:t>
      </w:r>
      <w:r w:rsidR="00F40FD3" w:rsidRPr="00173C3E">
        <w:rPr>
          <w:rStyle w:val="content-right1thtn1"/>
          <w:rFonts w:ascii="Times New Roman" w:eastAsia="宋体" w:hAnsi="Times New Roman" w:cs="Times New Roman"/>
          <w:sz w:val="24"/>
          <w:szCs w:val="24"/>
        </w:rPr>
        <w:t>截至</w:t>
      </w:r>
      <w:r w:rsidR="00F40FD3" w:rsidRPr="00173C3E">
        <w:rPr>
          <w:rStyle w:val="content-right1thtn1"/>
          <w:rFonts w:ascii="Times New Roman" w:eastAsia="宋体" w:hAnsi="Times New Roman" w:cs="Times New Roman"/>
          <w:sz w:val="24"/>
          <w:szCs w:val="24"/>
        </w:rPr>
        <w:t>2024</w:t>
      </w:r>
      <w:r w:rsidR="00F40FD3" w:rsidRPr="00173C3E">
        <w:rPr>
          <w:rStyle w:val="content-right1thtn1"/>
          <w:rFonts w:ascii="Times New Roman" w:eastAsia="宋体" w:hAnsi="Times New Roman" w:cs="Times New Roman"/>
          <w:sz w:val="24"/>
          <w:szCs w:val="24"/>
        </w:rPr>
        <w:t>年末，该改革方案仍未正式出台。</w:t>
      </w:r>
      <w:r w:rsidR="002B166E">
        <w:rPr>
          <w:rStyle w:val="content-right1thtn1"/>
          <w:rFonts w:ascii="Times New Roman" w:eastAsia="宋体" w:hAnsi="Times New Roman" w:cs="Times New Roman" w:hint="eastAsia"/>
          <w:sz w:val="24"/>
          <w:szCs w:val="24"/>
        </w:rPr>
        <w:t>在特朗普新政府的影响下</w:t>
      </w:r>
      <w:r w:rsidR="002B166E">
        <w:rPr>
          <w:rStyle w:val="content-right1thtn1"/>
          <w:rFonts w:ascii="Times New Roman" w:eastAsia="宋体" w:hAnsi="Times New Roman" w:cs="Times New Roman"/>
          <w:sz w:val="24"/>
          <w:szCs w:val="24"/>
        </w:rPr>
        <w:t>，</w:t>
      </w:r>
      <w:r w:rsidR="002B166E">
        <w:rPr>
          <w:rStyle w:val="content-right1thtn1"/>
          <w:rFonts w:ascii="Times New Roman" w:eastAsia="宋体" w:hAnsi="Times New Roman" w:cs="Times New Roman" w:hint="eastAsia"/>
          <w:sz w:val="24"/>
          <w:szCs w:val="24"/>
        </w:rPr>
        <w:t>该方案可能</w:t>
      </w:r>
      <w:r w:rsidR="00D035BA" w:rsidRPr="00173C3E">
        <w:rPr>
          <w:rStyle w:val="content-right1thtn1"/>
          <w:rFonts w:ascii="Times New Roman" w:eastAsia="宋体" w:hAnsi="Times New Roman" w:cs="Times New Roman"/>
          <w:sz w:val="24"/>
          <w:szCs w:val="24"/>
        </w:rPr>
        <w:t>被迫再度调整</w:t>
      </w:r>
      <w:r w:rsidR="00F40FD3" w:rsidRPr="00173C3E">
        <w:rPr>
          <w:rStyle w:val="content-right1thtn1"/>
          <w:rFonts w:ascii="Times New Roman" w:eastAsia="宋体" w:hAnsi="Times New Roman" w:cs="Times New Roman"/>
          <w:sz w:val="24"/>
          <w:szCs w:val="24"/>
        </w:rPr>
        <w:t>。除上述</w:t>
      </w:r>
      <w:r w:rsidR="00263A40">
        <w:rPr>
          <w:rStyle w:val="content-right1thtn1"/>
          <w:rFonts w:ascii="Times New Roman" w:eastAsia="宋体" w:hAnsi="Times New Roman" w:cs="Times New Roman" w:hint="eastAsia"/>
          <w:sz w:val="24"/>
          <w:szCs w:val="24"/>
        </w:rPr>
        <w:t>强化</w:t>
      </w:r>
      <w:r w:rsidR="00F40FD3" w:rsidRPr="00173C3E">
        <w:rPr>
          <w:rStyle w:val="content-right1thtn1"/>
          <w:rFonts w:ascii="Times New Roman" w:eastAsia="宋体" w:hAnsi="Times New Roman" w:cs="Times New Roman"/>
          <w:sz w:val="24"/>
          <w:szCs w:val="24"/>
        </w:rPr>
        <w:t>银行业监管的方案至今</w:t>
      </w:r>
      <w:r w:rsidR="00263A40">
        <w:rPr>
          <w:rStyle w:val="content-right1thtn1"/>
          <w:rFonts w:ascii="Times New Roman" w:eastAsia="宋体" w:hAnsi="Times New Roman" w:cs="Times New Roman" w:hint="eastAsia"/>
          <w:sz w:val="24"/>
          <w:szCs w:val="24"/>
        </w:rPr>
        <w:t>尚未</w:t>
      </w:r>
      <w:r w:rsidR="00F40FD3" w:rsidRPr="00173C3E">
        <w:rPr>
          <w:rStyle w:val="content-right1thtn1"/>
          <w:rFonts w:ascii="Times New Roman" w:eastAsia="宋体" w:hAnsi="Times New Roman" w:cs="Times New Roman"/>
          <w:sz w:val="24"/>
          <w:szCs w:val="24"/>
        </w:rPr>
        <w:t>出台之外，特朗普</w:t>
      </w:r>
      <w:r w:rsidR="002B166E">
        <w:rPr>
          <w:rStyle w:val="content-right1thtn1"/>
          <w:rFonts w:ascii="Times New Roman" w:eastAsia="宋体" w:hAnsi="Times New Roman" w:cs="Times New Roman" w:hint="eastAsia"/>
          <w:sz w:val="24"/>
          <w:szCs w:val="24"/>
        </w:rPr>
        <w:t>新</w:t>
      </w:r>
      <w:r w:rsidR="0055404C" w:rsidRPr="00173C3E">
        <w:rPr>
          <w:rStyle w:val="content-right1thtn1"/>
          <w:rFonts w:ascii="Times New Roman" w:eastAsia="宋体" w:hAnsi="Times New Roman" w:cs="Times New Roman"/>
          <w:sz w:val="24"/>
          <w:szCs w:val="24"/>
        </w:rPr>
        <w:t>政府可能会在巴塞</w:t>
      </w:r>
      <w:proofErr w:type="gramStart"/>
      <w:r w:rsidR="0055404C" w:rsidRPr="00173C3E">
        <w:rPr>
          <w:rStyle w:val="content-right1thtn1"/>
          <w:rFonts w:ascii="Times New Roman" w:eastAsia="宋体" w:hAnsi="Times New Roman" w:cs="Times New Roman"/>
          <w:sz w:val="24"/>
          <w:szCs w:val="24"/>
        </w:rPr>
        <w:t>尔资本</w:t>
      </w:r>
      <w:proofErr w:type="gramEnd"/>
      <w:r w:rsidR="0055404C" w:rsidRPr="00173C3E">
        <w:rPr>
          <w:rStyle w:val="content-right1thtn1"/>
          <w:rFonts w:ascii="Times New Roman" w:eastAsia="宋体" w:hAnsi="Times New Roman" w:cs="Times New Roman"/>
          <w:sz w:val="24"/>
          <w:szCs w:val="24"/>
        </w:rPr>
        <w:t>协议实施、加密货币、大型资产管理公司</w:t>
      </w:r>
      <w:r w:rsidR="00F40FD3" w:rsidRPr="00173C3E">
        <w:rPr>
          <w:rStyle w:val="content-right1thtn1"/>
          <w:rFonts w:ascii="Times New Roman" w:eastAsia="宋体" w:hAnsi="Times New Roman" w:cs="Times New Roman"/>
          <w:sz w:val="24"/>
          <w:szCs w:val="24"/>
        </w:rPr>
        <w:t>监管、消费金融、并购交易等</w:t>
      </w:r>
      <w:r w:rsidR="00263A40">
        <w:rPr>
          <w:rStyle w:val="content-right1thtn1"/>
          <w:rFonts w:ascii="Times New Roman" w:eastAsia="宋体" w:hAnsi="Times New Roman" w:cs="Times New Roman" w:hint="eastAsia"/>
          <w:sz w:val="24"/>
          <w:szCs w:val="24"/>
        </w:rPr>
        <w:t>领域</w:t>
      </w:r>
      <w:r w:rsidR="00F40FD3" w:rsidRPr="00173C3E">
        <w:rPr>
          <w:rStyle w:val="content-right1thtn1"/>
          <w:rFonts w:ascii="Times New Roman" w:eastAsia="宋体" w:hAnsi="Times New Roman" w:cs="Times New Roman"/>
          <w:sz w:val="24"/>
          <w:szCs w:val="24"/>
        </w:rPr>
        <w:t>出台放松之策</w:t>
      </w:r>
      <w:r w:rsidR="000E2DC4" w:rsidRPr="00173C3E">
        <w:rPr>
          <w:rStyle w:val="content-right1thtn1"/>
          <w:rFonts w:ascii="Times New Roman" w:eastAsia="宋体" w:hAnsi="Times New Roman" w:cs="Times New Roman"/>
          <w:sz w:val="24"/>
          <w:szCs w:val="24"/>
        </w:rPr>
        <w:t>。</w:t>
      </w:r>
      <w:r w:rsidR="002B166E">
        <w:rPr>
          <w:rStyle w:val="content-right1thtn1"/>
          <w:rFonts w:ascii="Times New Roman" w:eastAsia="宋体" w:hAnsi="Times New Roman" w:cs="Times New Roman"/>
          <w:sz w:val="24"/>
          <w:szCs w:val="24"/>
        </w:rPr>
        <w:t>这一系列监管放松</w:t>
      </w:r>
      <w:r w:rsidR="002B166E">
        <w:rPr>
          <w:rStyle w:val="content-right1thtn1"/>
          <w:rFonts w:ascii="Times New Roman" w:eastAsia="宋体" w:hAnsi="Times New Roman" w:cs="Times New Roman" w:hint="eastAsia"/>
          <w:sz w:val="24"/>
          <w:szCs w:val="24"/>
        </w:rPr>
        <w:t>举措</w:t>
      </w:r>
      <w:r w:rsidR="00F40FD3" w:rsidRPr="00173C3E">
        <w:rPr>
          <w:rStyle w:val="content-right1thtn1"/>
          <w:rFonts w:ascii="Times New Roman" w:eastAsia="宋体" w:hAnsi="Times New Roman" w:cs="Times New Roman"/>
          <w:sz w:val="24"/>
          <w:szCs w:val="24"/>
        </w:rPr>
        <w:t>可能带来三个方面的影响：一是</w:t>
      </w:r>
      <w:r w:rsidR="002B166E">
        <w:rPr>
          <w:rStyle w:val="content-right1thtn1"/>
          <w:rFonts w:ascii="Times New Roman" w:eastAsia="宋体" w:hAnsi="Times New Roman" w:cs="Times New Roman" w:hint="eastAsia"/>
          <w:sz w:val="24"/>
          <w:szCs w:val="24"/>
        </w:rPr>
        <w:t>美国</w:t>
      </w:r>
      <w:r w:rsidR="002B166E">
        <w:rPr>
          <w:rStyle w:val="content-right1thtn1"/>
          <w:rFonts w:ascii="Times New Roman" w:eastAsia="宋体" w:hAnsi="Times New Roman" w:cs="Times New Roman"/>
          <w:sz w:val="24"/>
          <w:szCs w:val="24"/>
        </w:rPr>
        <w:t>传统银行业竞争力将有所提升</w:t>
      </w:r>
      <w:r w:rsidR="00263A40">
        <w:rPr>
          <w:rStyle w:val="content-right1thtn1"/>
          <w:rFonts w:ascii="Times New Roman" w:eastAsia="宋体" w:hAnsi="Times New Roman" w:cs="Times New Roman" w:hint="eastAsia"/>
          <w:sz w:val="24"/>
          <w:szCs w:val="24"/>
        </w:rPr>
        <w:t>；</w:t>
      </w:r>
      <w:r w:rsidR="002B166E">
        <w:rPr>
          <w:rStyle w:val="content-right1thtn1"/>
          <w:rFonts w:ascii="Times New Roman" w:eastAsia="宋体" w:hAnsi="Times New Roman" w:cs="Times New Roman"/>
          <w:sz w:val="24"/>
          <w:szCs w:val="24"/>
        </w:rPr>
        <w:t>二是美国</w:t>
      </w:r>
      <w:r w:rsidR="00F40FD3" w:rsidRPr="00173C3E">
        <w:rPr>
          <w:rStyle w:val="content-right1thtn1"/>
          <w:rFonts w:ascii="Times New Roman" w:eastAsia="宋体" w:hAnsi="Times New Roman" w:cs="Times New Roman"/>
          <w:sz w:val="24"/>
          <w:szCs w:val="24"/>
        </w:rPr>
        <w:t>继续保持资</w:t>
      </w:r>
      <w:r w:rsidR="002B166E">
        <w:rPr>
          <w:rStyle w:val="content-right1thtn1"/>
          <w:rFonts w:ascii="Times New Roman" w:eastAsia="宋体" w:hAnsi="Times New Roman" w:cs="Times New Roman"/>
          <w:sz w:val="24"/>
          <w:szCs w:val="24"/>
        </w:rPr>
        <w:t>产管理领域的全球领先性，并有效主导资产管理国际规则</w:t>
      </w:r>
      <w:r w:rsidR="00263A40">
        <w:rPr>
          <w:rStyle w:val="content-right1thtn1"/>
          <w:rFonts w:ascii="Times New Roman" w:eastAsia="宋体" w:hAnsi="Times New Roman" w:cs="Times New Roman" w:hint="eastAsia"/>
          <w:sz w:val="24"/>
          <w:szCs w:val="24"/>
        </w:rPr>
        <w:t>；</w:t>
      </w:r>
      <w:r w:rsidR="002B166E">
        <w:rPr>
          <w:rStyle w:val="content-right1thtn1"/>
          <w:rFonts w:ascii="Times New Roman" w:eastAsia="宋体" w:hAnsi="Times New Roman" w:cs="Times New Roman"/>
          <w:sz w:val="24"/>
          <w:szCs w:val="24"/>
        </w:rPr>
        <w:t>三是加密</w:t>
      </w:r>
      <w:r w:rsidR="002B166E">
        <w:rPr>
          <w:rStyle w:val="content-right1thtn1"/>
          <w:rFonts w:ascii="Times New Roman" w:eastAsia="宋体" w:hAnsi="Times New Roman" w:cs="Times New Roman" w:hint="eastAsia"/>
          <w:sz w:val="24"/>
          <w:szCs w:val="24"/>
        </w:rPr>
        <w:t>资产</w:t>
      </w:r>
      <w:r w:rsidR="00F40FD3" w:rsidRPr="00173C3E">
        <w:rPr>
          <w:rStyle w:val="content-right1thtn1"/>
          <w:rFonts w:ascii="Times New Roman" w:eastAsia="宋体" w:hAnsi="Times New Roman" w:cs="Times New Roman"/>
          <w:sz w:val="24"/>
          <w:szCs w:val="24"/>
        </w:rPr>
        <w:t>可能成为美国新优势领域。</w:t>
      </w:r>
    </w:p>
    <w:p w14:paraId="1BB7822E" w14:textId="2A0FD6C0" w:rsidR="00532AC9" w:rsidRPr="003C0EBE" w:rsidRDefault="0066302B"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sidRPr="003C0EBE">
        <w:rPr>
          <w:rFonts w:ascii="Times New Roman" w:eastAsia="宋体" w:hAnsi="Times New Roman" w:cs="Times New Roman"/>
          <w:sz w:val="24"/>
          <w:szCs w:val="24"/>
        </w:rPr>
        <w:t>（四）弱化</w:t>
      </w:r>
      <w:r w:rsidR="00F40FD3" w:rsidRPr="003C0EBE">
        <w:rPr>
          <w:rFonts w:ascii="Times New Roman" w:eastAsia="宋体" w:hAnsi="Times New Roman" w:cs="Times New Roman"/>
          <w:sz w:val="24"/>
          <w:szCs w:val="24"/>
        </w:rPr>
        <w:t>国际</w:t>
      </w:r>
      <w:r w:rsidR="008D2799" w:rsidRPr="003C0EBE">
        <w:rPr>
          <w:rFonts w:ascii="Times New Roman" w:eastAsia="宋体" w:hAnsi="Times New Roman" w:cs="Times New Roman"/>
          <w:sz w:val="24"/>
          <w:szCs w:val="24"/>
        </w:rPr>
        <w:t>金融治理</w:t>
      </w:r>
      <w:r w:rsidR="001E65BB" w:rsidRPr="003C0EBE">
        <w:rPr>
          <w:rFonts w:ascii="Times New Roman" w:eastAsia="宋体" w:hAnsi="Times New Roman" w:cs="Times New Roman"/>
          <w:sz w:val="24"/>
          <w:szCs w:val="24"/>
        </w:rPr>
        <w:t>秩序</w:t>
      </w:r>
    </w:p>
    <w:p w14:paraId="6A09D495" w14:textId="11B0DA38" w:rsidR="00532AC9" w:rsidRPr="00173C3E" w:rsidRDefault="00F40FD3" w:rsidP="00AF0AF5">
      <w:pPr>
        <w:adjustRightInd w:val="0"/>
        <w:snapToGrid w:val="0"/>
        <w:spacing w:before="100" w:beforeAutospacing="1" w:after="100" w:afterAutospacing="1" w:line="360" w:lineRule="auto"/>
        <w:ind w:firstLineChars="200" w:firstLine="480"/>
        <w:contextualSpacing/>
        <w:rPr>
          <w:rStyle w:val="content-right1thtn1"/>
          <w:rFonts w:ascii="Times New Roman" w:eastAsia="宋体" w:hAnsi="Times New Roman" w:cs="Times New Roman"/>
          <w:sz w:val="24"/>
          <w:szCs w:val="24"/>
        </w:rPr>
      </w:pPr>
      <w:r w:rsidRPr="00173C3E">
        <w:rPr>
          <w:rStyle w:val="content-right1thtn1"/>
          <w:rFonts w:ascii="Times New Roman" w:eastAsia="宋体" w:hAnsi="Times New Roman" w:cs="Times New Roman"/>
          <w:sz w:val="24"/>
          <w:szCs w:val="24"/>
        </w:rPr>
        <w:t>在</w:t>
      </w:r>
      <w:r w:rsidRPr="00173C3E">
        <w:rPr>
          <w:rStyle w:val="content-right1thtn1"/>
          <w:rFonts w:ascii="Times New Roman" w:eastAsia="宋体" w:hAnsi="Times New Roman" w:cs="Times New Roman"/>
          <w:sz w:val="24"/>
          <w:szCs w:val="24"/>
        </w:rPr>
        <w:t>1.0</w:t>
      </w:r>
      <w:r w:rsidRPr="00173C3E">
        <w:rPr>
          <w:rStyle w:val="content-right1thtn1"/>
          <w:rFonts w:ascii="Times New Roman" w:eastAsia="宋体" w:hAnsi="Times New Roman" w:cs="Times New Roman"/>
          <w:sz w:val="24"/>
          <w:szCs w:val="24"/>
        </w:rPr>
        <w:t>时期，特朗普政</w:t>
      </w:r>
      <w:r w:rsidRPr="0047323B">
        <w:rPr>
          <w:rStyle w:val="content-right1thtn1"/>
          <w:rFonts w:ascii="宋体" w:eastAsia="宋体" w:hAnsi="宋体" w:cs="Times New Roman"/>
          <w:sz w:val="24"/>
          <w:szCs w:val="24"/>
        </w:rPr>
        <w:t>府各种“退群”</w:t>
      </w:r>
      <w:r w:rsidR="002B166E">
        <w:rPr>
          <w:rStyle w:val="content-right1thtn1"/>
          <w:rFonts w:ascii="宋体" w:eastAsia="宋体" w:hAnsi="宋体" w:cs="Times New Roman"/>
          <w:sz w:val="24"/>
          <w:szCs w:val="24"/>
        </w:rPr>
        <w:t>操作使得国际</w:t>
      </w:r>
      <w:r w:rsidR="002B166E">
        <w:rPr>
          <w:rStyle w:val="content-right1thtn1"/>
          <w:rFonts w:ascii="宋体" w:eastAsia="宋体" w:hAnsi="宋体" w:cs="Times New Roman" w:hint="eastAsia"/>
          <w:sz w:val="24"/>
          <w:szCs w:val="24"/>
        </w:rPr>
        <w:t>经济金融</w:t>
      </w:r>
      <w:r w:rsidRPr="0047323B">
        <w:rPr>
          <w:rStyle w:val="content-right1thtn1"/>
          <w:rFonts w:ascii="宋体" w:eastAsia="宋体" w:hAnsi="宋体" w:cs="Times New Roman"/>
          <w:sz w:val="24"/>
          <w:szCs w:val="24"/>
        </w:rPr>
        <w:t>治理秩序受到一定的破坏，美国与盟友在国际治理方面的合作也被弱化</w:t>
      </w:r>
      <w:r w:rsidRPr="00173C3E">
        <w:rPr>
          <w:rStyle w:val="content-right1thtn1"/>
          <w:rFonts w:ascii="Times New Roman" w:eastAsia="宋体" w:hAnsi="Times New Roman" w:cs="Times New Roman"/>
          <w:sz w:val="24"/>
          <w:szCs w:val="24"/>
        </w:rPr>
        <w:t>。在</w:t>
      </w:r>
      <w:r w:rsidRPr="00173C3E">
        <w:rPr>
          <w:rStyle w:val="content-right1thtn1"/>
          <w:rFonts w:ascii="Times New Roman" w:eastAsia="宋体" w:hAnsi="Times New Roman" w:cs="Times New Roman"/>
          <w:sz w:val="24"/>
          <w:szCs w:val="24"/>
        </w:rPr>
        <w:t>2.0</w:t>
      </w:r>
      <w:r w:rsidRPr="00173C3E">
        <w:rPr>
          <w:rStyle w:val="content-right1thtn1"/>
          <w:rFonts w:ascii="Times New Roman" w:eastAsia="宋体" w:hAnsi="Times New Roman" w:cs="Times New Roman"/>
          <w:sz w:val="24"/>
          <w:szCs w:val="24"/>
        </w:rPr>
        <w:t>时期特朗普新政府对国际</w:t>
      </w:r>
      <w:r w:rsidR="001E65BB" w:rsidRPr="00173C3E">
        <w:rPr>
          <w:rStyle w:val="content-right1thtn1"/>
          <w:rFonts w:ascii="Times New Roman" w:eastAsia="宋体" w:hAnsi="Times New Roman" w:cs="Times New Roman"/>
          <w:sz w:val="24"/>
          <w:szCs w:val="24"/>
        </w:rPr>
        <w:t>金融</w:t>
      </w:r>
      <w:r w:rsidRPr="00173C3E">
        <w:rPr>
          <w:rStyle w:val="content-right1thtn1"/>
          <w:rFonts w:ascii="Times New Roman" w:eastAsia="宋体" w:hAnsi="Times New Roman" w:cs="Times New Roman"/>
          <w:sz w:val="24"/>
          <w:szCs w:val="24"/>
        </w:rPr>
        <w:t>治理的冲击可能更加明显，全球可能遭遇更加碎片化的冲突（萨克斯，</w:t>
      </w:r>
      <w:r w:rsidRPr="00173C3E">
        <w:rPr>
          <w:rStyle w:val="content-right1thtn1"/>
          <w:rFonts w:ascii="Times New Roman" w:eastAsia="宋体" w:hAnsi="Times New Roman" w:cs="Times New Roman"/>
          <w:sz w:val="24"/>
          <w:szCs w:val="24"/>
        </w:rPr>
        <w:t>2024</w:t>
      </w:r>
      <w:r w:rsidRPr="00173C3E">
        <w:rPr>
          <w:rStyle w:val="content-right1thtn1"/>
          <w:rFonts w:ascii="Times New Roman" w:eastAsia="宋体" w:hAnsi="Times New Roman" w:cs="Times New Roman"/>
          <w:sz w:val="24"/>
          <w:szCs w:val="24"/>
        </w:rPr>
        <w:t>）。特朗普</w:t>
      </w:r>
      <w:r w:rsidRPr="000F0E5C">
        <w:rPr>
          <w:rStyle w:val="content-right1thtn1"/>
          <w:rFonts w:ascii="宋体" w:eastAsia="宋体" w:hAnsi="宋体" w:cs="Times New Roman"/>
          <w:sz w:val="24"/>
          <w:szCs w:val="24"/>
        </w:rPr>
        <w:t>“再次伟大”“增长至上”等</w:t>
      </w:r>
      <w:r w:rsidR="003557FA" w:rsidRPr="000F0E5C">
        <w:rPr>
          <w:rStyle w:val="content-right1thtn1"/>
          <w:rFonts w:ascii="宋体" w:eastAsia="宋体" w:hAnsi="宋体" w:cs="Times New Roman"/>
          <w:sz w:val="24"/>
          <w:szCs w:val="24"/>
        </w:rPr>
        <w:t>内</w:t>
      </w:r>
      <w:r w:rsidR="003557FA" w:rsidRPr="00173C3E">
        <w:rPr>
          <w:rStyle w:val="content-right1thtn1"/>
          <w:rFonts w:ascii="Times New Roman" w:eastAsia="宋体" w:hAnsi="Times New Roman" w:cs="Times New Roman"/>
          <w:sz w:val="24"/>
          <w:szCs w:val="24"/>
        </w:rPr>
        <w:t>部</w:t>
      </w:r>
      <w:r w:rsidRPr="00173C3E">
        <w:rPr>
          <w:rStyle w:val="content-right1thtn1"/>
          <w:rFonts w:ascii="Times New Roman" w:eastAsia="宋体" w:hAnsi="Times New Roman" w:cs="Times New Roman"/>
          <w:sz w:val="24"/>
          <w:szCs w:val="24"/>
        </w:rPr>
        <w:t>主导政策逻辑</w:t>
      </w:r>
      <w:r w:rsidR="003557FA" w:rsidRPr="00173C3E">
        <w:rPr>
          <w:rStyle w:val="content-right1thtn1"/>
          <w:rFonts w:ascii="Times New Roman" w:eastAsia="宋体" w:hAnsi="Times New Roman" w:cs="Times New Roman"/>
          <w:sz w:val="24"/>
          <w:szCs w:val="24"/>
        </w:rPr>
        <w:t>与更加独</w:t>
      </w:r>
      <w:r w:rsidR="003557FA" w:rsidRPr="00173C3E">
        <w:rPr>
          <w:rStyle w:val="content-right1thtn1"/>
          <w:rFonts w:ascii="Times New Roman" w:eastAsia="宋体" w:hAnsi="Times New Roman" w:cs="Times New Roman"/>
          <w:sz w:val="24"/>
          <w:szCs w:val="24"/>
        </w:rPr>
        <w:lastRenderedPageBreak/>
        <w:t>立等对外政策逻辑的</w:t>
      </w:r>
      <w:r w:rsidRPr="00173C3E">
        <w:rPr>
          <w:rStyle w:val="content-right1thtn1"/>
          <w:rFonts w:ascii="Times New Roman" w:eastAsia="宋体" w:hAnsi="Times New Roman" w:cs="Times New Roman"/>
          <w:sz w:val="24"/>
          <w:szCs w:val="24"/>
        </w:rPr>
        <w:t>不一致</w:t>
      </w:r>
      <w:r w:rsidR="003557FA" w:rsidRPr="00173C3E">
        <w:rPr>
          <w:rStyle w:val="content-right1thtn1"/>
          <w:rFonts w:ascii="Times New Roman" w:eastAsia="宋体" w:hAnsi="Times New Roman" w:cs="Times New Roman"/>
          <w:sz w:val="24"/>
          <w:szCs w:val="24"/>
        </w:rPr>
        <w:t>性，可能使得美国对现有</w:t>
      </w:r>
      <w:r w:rsidR="002B166E">
        <w:rPr>
          <w:rStyle w:val="content-right1thtn1"/>
          <w:rFonts w:ascii="Times New Roman" w:eastAsia="宋体" w:hAnsi="Times New Roman" w:cs="Times New Roman" w:hint="eastAsia"/>
          <w:sz w:val="24"/>
          <w:szCs w:val="24"/>
        </w:rPr>
        <w:t>国际</w:t>
      </w:r>
      <w:r w:rsidR="003557FA" w:rsidRPr="00173C3E">
        <w:rPr>
          <w:rStyle w:val="content-right1thtn1"/>
          <w:rFonts w:ascii="Times New Roman" w:eastAsia="宋体" w:hAnsi="Times New Roman" w:cs="Times New Roman"/>
          <w:sz w:val="24"/>
          <w:szCs w:val="24"/>
        </w:rPr>
        <w:t>治理机制</w:t>
      </w:r>
      <w:r w:rsidRPr="00173C3E">
        <w:rPr>
          <w:rStyle w:val="content-right1thtn1"/>
          <w:rFonts w:ascii="Times New Roman" w:eastAsia="宋体" w:hAnsi="Times New Roman" w:cs="Times New Roman"/>
          <w:sz w:val="24"/>
          <w:szCs w:val="24"/>
        </w:rPr>
        <w:t>和治理秩序的远离或切割更快更坚决</w:t>
      </w:r>
      <w:r w:rsidR="003557FA" w:rsidRPr="00173C3E">
        <w:rPr>
          <w:rStyle w:val="content-right1thtn1"/>
          <w:rFonts w:ascii="Times New Roman" w:eastAsia="宋体" w:hAnsi="Times New Roman" w:cs="Times New Roman"/>
          <w:sz w:val="24"/>
          <w:szCs w:val="24"/>
        </w:rPr>
        <w:t>。美国</w:t>
      </w:r>
      <w:r w:rsidRPr="00173C3E">
        <w:rPr>
          <w:rStyle w:val="content-right1thtn1"/>
          <w:rFonts w:ascii="Times New Roman" w:eastAsia="宋体" w:hAnsi="Times New Roman" w:cs="Times New Roman"/>
          <w:sz w:val="24"/>
          <w:szCs w:val="24"/>
        </w:rPr>
        <w:t>不仅不会顾及发展中国家的利益诉求，而且可能对美国传统盟友采取</w:t>
      </w:r>
      <w:r w:rsidRPr="00173C3E">
        <w:rPr>
          <w:rStyle w:val="content-right1thtn1"/>
          <w:rFonts w:ascii="Times New Roman" w:eastAsia="宋体" w:hAnsi="Times New Roman" w:cs="Times New Roman"/>
          <w:sz w:val="24"/>
          <w:szCs w:val="24"/>
        </w:rPr>
        <w:t>“</w:t>
      </w:r>
      <w:r w:rsidR="003F7A1A" w:rsidRPr="00173C3E">
        <w:rPr>
          <w:rStyle w:val="content-right1thtn1"/>
          <w:rFonts w:ascii="Times New Roman" w:eastAsia="宋体" w:hAnsi="Times New Roman" w:cs="Times New Roman"/>
          <w:sz w:val="24"/>
          <w:szCs w:val="24"/>
        </w:rPr>
        <w:t>忽视</w:t>
      </w:r>
      <w:r w:rsidRPr="00173C3E">
        <w:rPr>
          <w:rStyle w:val="content-right1thtn1"/>
          <w:rFonts w:ascii="Times New Roman" w:eastAsia="宋体" w:hAnsi="Times New Roman" w:cs="Times New Roman"/>
          <w:sz w:val="24"/>
          <w:szCs w:val="24"/>
        </w:rPr>
        <w:t>”</w:t>
      </w:r>
      <w:r w:rsidRPr="00173C3E">
        <w:rPr>
          <w:rStyle w:val="content-right1thtn1"/>
          <w:rFonts w:ascii="Times New Roman" w:eastAsia="宋体" w:hAnsi="Times New Roman" w:cs="Times New Roman"/>
          <w:sz w:val="24"/>
          <w:szCs w:val="24"/>
        </w:rPr>
        <w:t>策略。</w:t>
      </w:r>
      <w:r w:rsidR="003557FA" w:rsidRPr="00173C3E">
        <w:rPr>
          <w:rStyle w:val="content-right1thtn1"/>
          <w:rFonts w:ascii="Times New Roman" w:eastAsia="宋体" w:hAnsi="Times New Roman" w:cs="Times New Roman"/>
          <w:sz w:val="24"/>
          <w:szCs w:val="24"/>
        </w:rPr>
        <w:t>特朗普</w:t>
      </w:r>
      <w:r w:rsidR="00D1520A" w:rsidRPr="00173C3E">
        <w:rPr>
          <w:rStyle w:val="content-right1thtn1"/>
          <w:rFonts w:ascii="Times New Roman" w:eastAsia="宋体" w:hAnsi="Times New Roman" w:cs="Times New Roman"/>
          <w:sz w:val="24"/>
          <w:szCs w:val="24"/>
        </w:rPr>
        <w:t>上任第一天</w:t>
      </w:r>
      <w:r w:rsidR="008910AD">
        <w:rPr>
          <w:rStyle w:val="content-right1thtn1"/>
          <w:rFonts w:ascii="Times New Roman" w:eastAsia="宋体" w:hAnsi="Times New Roman" w:cs="Times New Roman" w:hint="eastAsia"/>
          <w:sz w:val="24"/>
          <w:szCs w:val="24"/>
        </w:rPr>
        <w:t>即</w:t>
      </w:r>
      <w:r w:rsidR="001E65BB" w:rsidRPr="00173C3E">
        <w:rPr>
          <w:rStyle w:val="content-right1thtn1"/>
          <w:rFonts w:ascii="Times New Roman" w:eastAsia="宋体" w:hAnsi="Times New Roman" w:cs="Times New Roman"/>
          <w:sz w:val="24"/>
          <w:szCs w:val="24"/>
        </w:rPr>
        <w:t>签署</w:t>
      </w:r>
      <w:r w:rsidR="00D1520A" w:rsidRPr="00173C3E">
        <w:rPr>
          <w:rStyle w:val="content-right1thtn1"/>
          <w:rFonts w:ascii="Times New Roman" w:eastAsia="宋体" w:hAnsi="Times New Roman" w:cs="Times New Roman"/>
          <w:sz w:val="24"/>
          <w:szCs w:val="24"/>
        </w:rPr>
        <w:t>美国退出</w:t>
      </w:r>
      <w:r w:rsidR="001E65BB" w:rsidRPr="00173C3E">
        <w:rPr>
          <w:rStyle w:val="content-right1thtn1"/>
          <w:rFonts w:ascii="Times New Roman" w:eastAsia="宋体" w:hAnsi="Times New Roman" w:cs="Times New Roman"/>
          <w:sz w:val="24"/>
          <w:szCs w:val="24"/>
        </w:rPr>
        <w:t>巴黎气候协定和</w:t>
      </w:r>
      <w:r w:rsidR="00D1520A" w:rsidRPr="00173C3E">
        <w:rPr>
          <w:rStyle w:val="content-right1thtn1"/>
          <w:rFonts w:ascii="Times New Roman" w:eastAsia="宋体" w:hAnsi="Times New Roman" w:cs="Times New Roman"/>
          <w:sz w:val="24"/>
          <w:szCs w:val="24"/>
        </w:rPr>
        <w:t>世界卫生组织</w:t>
      </w:r>
      <w:r w:rsidR="002B166E">
        <w:rPr>
          <w:rStyle w:val="content-right1thtn1"/>
          <w:rFonts w:ascii="Times New Roman" w:eastAsia="宋体" w:hAnsi="Times New Roman" w:cs="Times New Roman" w:hint="eastAsia"/>
          <w:sz w:val="24"/>
          <w:szCs w:val="24"/>
        </w:rPr>
        <w:t>的行政令</w:t>
      </w:r>
      <w:r w:rsidR="003557FA" w:rsidRPr="00173C3E">
        <w:rPr>
          <w:rStyle w:val="content-right1thtn1"/>
          <w:rFonts w:ascii="Times New Roman" w:eastAsia="宋体" w:hAnsi="Times New Roman" w:cs="Times New Roman"/>
          <w:sz w:val="24"/>
          <w:szCs w:val="24"/>
        </w:rPr>
        <w:t>就是明证</w:t>
      </w:r>
      <w:r w:rsidR="00D1520A" w:rsidRPr="00173C3E">
        <w:rPr>
          <w:rStyle w:val="content-right1thtn1"/>
          <w:rFonts w:ascii="Times New Roman" w:eastAsia="宋体" w:hAnsi="Times New Roman" w:cs="Times New Roman"/>
          <w:sz w:val="24"/>
          <w:szCs w:val="24"/>
        </w:rPr>
        <w:t>。</w:t>
      </w:r>
      <w:r w:rsidRPr="00173C3E">
        <w:rPr>
          <w:rStyle w:val="content-right1thtn1"/>
          <w:rFonts w:ascii="Times New Roman" w:eastAsia="宋体" w:hAnsi="Times New Roman" w:cs="Times New Roman"/>
          <w:sz w:val="24"/>
          <w:szCs w:val="24"/>
        </w:rPr>
        <w:t>由于实施更加</w:t>
      </w:r>
      <w:r w:rsidR="008910AD">
        <w:rPr>
          <w:rStyle w:val="content-right1thtn1"/>
          <w:rFonts w:ascii="Times New Roman" w:eastAsia="宋体" w:hAnsi="Times New Roman" w:cs="Times New Roman" w:hint="eastAsia"/>
          <w:sz w:val="24"/>
          <w:szCs w:val="24"/>
        </w:rPr>
        <w:t>“美国优先”</w:t>
      </w:r>
      <w:r w:rsidRPr="00173C3E">
        <w:rPr>
          <w:rStyle w:val="content-right1thtn1"/>
          <w:rFonts w:ascii="Times New Roman" w:eastAsia="宋体" w:hAnsi="Times New Roman" w:cs="Times New Roman"/>
          <w:sz w:val="24"/>
          <w:szCs w:val="24"/>
        </w:rPr>
        <w:t>的对外政策，特朗普</w:t>
      </w:r>
      <w:r w:rsidRPr="00173C3E">
        <w:rPr>
          <w:rStyle w:val="content-right1thtn1"/>
          <w:rFonts w:ascii="Times New Roman" w:eastAsia="宋体" w:hAnsi="Times New Roman" w:cs="Times New Roman"/>
          <w:sz w:val="24"/>
          <w:szCs w:val="24"/>
        </w:rPr>
        <w:t>2.0</w:t>
      </w:r>
      <w:r w:rsidRPr="00173C3E">
        <w:rPr>
          <w:rStyle w:val="content-right1thtn1"/>
          <w:rFonts w:ascii="Times New Roman" w:eastAsia="宋体" w:hAnsi="Times New Roman" w:cs="Times New Roman"/>
          <w:sz w:val="24"/>
          <w:szCs w:val="24"/>
        </w:rPr>
        <w:t>时期</w:t>
      </w:r>
      <w:r w:rsidR="002B166E">
        <w:rPr>
          <w:rStyle w:val="content-right1thtn1"/>
          <w:rFonts w:ascii="Times New Roman" w:eastAsia="宋体" w:hAnsi="Times New Roman" w:cs="Times New Roman" w:hint="eastAsia"/>
          <w:sz w:val="24"/>
          <w:szCs w:val="24"/>
        </w:rPr>
        <w:t>对</w:t>
      </w:r>
      <w:r w:rsidRPr="00173C3E">
        <w:rPr>
          <w:rStyle w:val="content-right1thtn1"/>
          <w:rFonts w:ascii="Times New Roman" w:eastAsia="宋体" w:hAnsi="Times New Roman" w:cs="Times New Roman"/>
          <w:sz w:val="24"/>
          <w:szCs w:val="24"/>
        </w:rPr>
        <w:t>联合国、世贸组织、国际货币基金组织、世界银行等机构</w:t>
      </w:r>
      <w:r w:rsidR="002B166E">
        <w:rPr>
          <w:rStyle w:val="content-right1thtn1"/>
          <w:rFonts w:ascii="Times New Roman" w:eastAsia="宋体" w:hAnsi="Times New Roman" w:cs="Times New Roman" w:hint="eastAsia"/>
          <w:sz w:val="24"/>
          <w:szCs w:val="24"/>
        </w:rPr>
        <w:t>的重视程度可能下降</w:t>
      </w:r>
      <w:r w:rsidR="003F6AB0" w:rsidRPr="00173C3E">
        <w:rPr>
          <w:rStyle w:val="content-right1thtn1"/>
          <w:rFonts w:ascii="Times New Roman" w:eastAsia="宋体" w:hAnsi="Times New Roman" w:cs="Times New Roman"/>
          <w:sz w:val="24"/>
          <w:szCs w:val="24"/>
        </w:rPr>
        <w:t>，</w:t>
      </w:r>
      <w:r w:rsidR="002B166E">
        <w:rPr>
          <w:rStyle w:val="content-right1thtn1"/>
          <w:rFonts w:ascii="Times New Roman" w:eastAsia="宋体" w:hAnsi="Times New Roman" w:cs="Times New Roman" w:hint="eastAsia"/>
          <w:sz w:val="24"/>
          <w:szCs w:val="24"/>
        </w:rPr>
        <w:t>降低</w:t>
      </w:r>
      <w:r w:rsidR="003F6AB0" w:rsidRPr="00173C3E">
        <w:rPr>
          <w:rStyle w:val="content-right1thtn1"/>
          <w:rFonts w:ascii="Times New Roman" w:eastAsia="宋体" w:hAnsi="Times New Roman" w:cs="Times New Roman"/>
          <w:sz w:val="24"/>
          <w:szCs w:val="24"/>
        </w:rPr>
        <w:t>对传统国际经济金融治理机构的</w:t>
      </w:r>
      <w:r w:rsidR="00D1520A" w:rsidRPr="00173C3E">
        <w:rPr>
          <w:rStyle w:val="content-right1thtn1"/>
          <w:rFonts w:ascii="Times New Roman" w:eastAsia="宋体" w:hAnsi="Times New Roman" w:cs="Times New Roman"/>
          <w:sz w:val="24"/>
          <w:szCs w:val="24"/>
        </w:rPr>
        <w:t>依赖</w:t>
      </w:r>
      <w:r w:rsidRPr="00173C3E">
        <w:rPr>
          <w:rStyle w:val="content-right1thtn1"/>
          <w:rFonts w:ascii="Times New Roman" w:eastAsia="宋体" w:hAnsi="Times New Roman" w:cs="Times New Roman"/>
          <w:sz w:val="24"/>
          <w:szCs w:val="24"/>
        </w:rPr>
        <w:t>，进一步削弱现有国际金融治理体系</w:t>
      </w:r>
      <w:r w:rsidR="008D2799" w:rsidRPr="00173C3E">
        <w:rPr>
          <w:rStyle w:val="content-right1thtn1"/>
          <w:rFonts w:ascii="Times New Roman" w:eastAsia="宋体" w:hAnsi="Times New Roman" w:cs="Times New Roman"/>
          <w:sz w:val="24"/>
          <w:szCs w:val="24"/>
        </w:rPr>
        <w:t>的功能</w:t>
      </w:r>
      <w:r w:rsidRPr="00173C3E">
        <w:rPr>
          <w:rStyle w:val="content-right1thtn1"/>
          <w:rFonts w:ascii="Times New Roman" w:eastAsia="宋体" w:hAnsi="Times New Roman" w:cs="Times New Roman"/>
          <w:sz w:val="24"/>
          <w:szCs w:val="24"/>
        </w:rPr>
        <w:t>。同时，美国可能对新兴经济体</w:t>
      </w:r>
      <w:r w:rsidR="001E65BB" w:rsidRPr="00173C3E">
        <w:rPr>
          <w:rStyle w:val="content-right1thtn1"/>
          <w:rFonts w:ascii="Times New Roman" w:eastAsia="宋体" w:hAnsi="Times New Roman" w:cs="Times New Roman"/>
          <w:sz w:val="24"/>
          <w:szCs w:val="24"/>
        </w:rPr>
        <w:t>和发展中国家</w:t>
      </w:r>
      <w:r w:rsidRPr="00173C3E">
        <w:rPr>
          <w:rStyle w:val="content-right1thtn1"/>
          <w:rFonts w:ascii="Times New Roman" w:eastAsia="宋体" w:hAnsi="Times New Roman" w:cs="Times New Roman"/>
          <w:sz w:val="24"/>
          <w:szCs w:val="24"/>
        </w:rPr>
        <w:t>提出的国际金融秩序改革诉求</w:t>
      </w:r>
      <w:r w:rsidR="008D2799" w:rsidRPr="00173C3E">
        <w:rPr>
          <w:rStyle w:val="content-right1thtn1"/>
          <w:rFonts w:ascii="Times New Roman" w:eastAsia="宋体" w:hAnsi="Times New Roman" w:cs="Times New Roman"/>
          <w:sz w:val="24"/>
          <w:szCs w:val="24"/>
        </w:rPr>
        <w:t>反应</w:t>
      </w:r>
      <w:r w:rsidRPr="00173C3E">
        <w:rPr>
          <w:rStyle w:val="content-right1thtn1"/>
          <w:rFonts w:ascii="Times New Roman" w:eastAsia="宋体" w:hAnsi="Times New Roman" w:cs="Times New Roman"/>
          <w:sz w:val="24"/>
          <w:szCs w:val="24"/>
        </w:rPr>
        <w:t>不积极</w:t>
      </w:r>
      <w:r w:rsidR="002B166E">
        <w:rPr>
          <w:rStyle w:val="content-right1thtn1"/>
          <w:rFonts w:ascii="Times New Roman" w:eastAsia="宋体" w:hAnsi="Times New Roman" w:cs="Times New Roman" w:hint="eastAsia"/>
          <w:sz w:val="24"/>
          <w:szCs w:val="24"/>
        </w:rPr>
        <w:t>甚至反对</w:t>
      </w:r>
      <w:r w:rsidRPr="00173C3E">
        <w:rPr>
          <w:rStyle w:val="content-right1thtn1"/>
          <w:rFonts w:ascii="Times New Roman" w:eastAsia="宋体" w:hAnsi="Times New Roman" w:cs="Times New Roman"/>
          <w:sz w:val="24"/>
          <w:szCs w:val="24"/>
        </w:rPr>
        <w:t>，这对</w:t>
      </w:r>
      <w:r w:rsidR="002B166E">
        <w:rPr>
          <w:rStyle w:val="content-right1thtn1"/>
          <w:rFonts w:ascii="Times New Roman" w:eastAsia="宋体" w:hAnsi="Times New Roman" w:cs="Times New Roman" w:hint="eastAsia"/>
          <w:sz w:val="24"/>
          <w:szCs w:val="24"/>
        </w:rPr>
        <w:t>“</w:t>
      </w:r>
      <w:r w:rsidR="002B166E" w:rsidRPr="00173C3E">
        <w:rPr>
          <w:rStyle w:val="content-right1thtn1"/>
          <w:rFonts w:ascii="Times New Roman" w:eastAsia="宋体" w:hAnsi="Times New Roman" w:cs="Times New Roman"/>
          <w:sz w:val="24"/>
          <w:szCs w:val="24"/>
        </w:rPr>
        <w:t>一带一路</w:t>
      </w:r>
      <w:r w:rsidR="002B166E">
        <w:rPr>
          <w:rStyle w:val="content-right1thtn1"/>
          <w:rFonts w:ascii="Times New Roman" w:eastAsia="宋体" w:hAnsi="Times New Roman" w:cs="Times New Roman" w:hint="eastAsia"/>
          <w:sz w:val="24"/>
          <w:szCs w:val="24"/>
        </w:rPr>
        <w:t>”倡议</w:t>
      </w:r>
      <w:r w:rsidRPr="00173C3E">
        <w:rPr>
          <w:rStyle w:val="content-right1thtn1"/>
          <w:rFonts w:ascii="Times New Roman" w:eastAsia="宋体" w:hAnsi="Times New Roman" w:cs="Times New Roman"/>
          <w:sz w:val="24"/>
          <w:szCs w:val="24"/>
        </w:rPr>
        <w:t>、大金砖合作机制以及全球南方合作等都会带来</w:t>
      </w:r>
      <w:r w:rsidR="003557FA" w:rsidRPr="00173C3E">
        <w:rPr>
          <w:rStyle w:val="content-right1thtn1"/>
          <w:rFonts w:ascii="Times New Roman" w:eastAsia="宋体" w:hAnsi="Times New Roman" w:cs="Times New Roman"/>
          <w:sz w:val="24"/>
          <w:szCs w:val="24"/>
        </w:rPr>
        <w:t>新的</w:t>
      </w:r>
      <w:r w:rsidRPr="00173C3E">
        <w:rPr>
          <w:rStyle w:val="content-right1thtn1"/>
          <w:rFonts w:ascii="Times New Roman" w:eastAsia="宋体" w:hAnsi="Times New Roman" w:cs="Times New Roman"/>
          <w:sz w:val="24"/>
          <w:szCs w:val="24"/>
        </w:rPr>
        <w:t>不确定性。</w:t>
      </w:r>
    </w:p>
    <w:p w14:paraId="559ADC0C" w14:textId="77777777" w:rsidR="006126F2" w:rsidRDefault="006126F2" w:rsidP="00AF0AF5">
      <w:pPr>
        <w:adjustRightInd w:val="0"/>
        <w:snapToGrid w:val="0"/>
        <w:spacing w:before="100" w:beforeAutospacing="1" w:after="100" w:afterAutospacing="1" w:line="360" w:lineRule="auto"/>
        <w:contextualSpacing/>
        <w:rPr>
          <w:rFonts w:ascii="宋体" w:eastAsia="宋体" w:hAnsi="宋体"/>
          <w:sz w:val="28"/>
          <w:szCs w:val="28"/>
        </w:rPr>
      </w:pPr>
    </w:p>
    <w:p w14:paraId="162D48F9" w14:textId="226346AB" w:rsidR="00532AC9" w:rsidRPr="006126F2" w:rsidRDefault="00AB575B" w:rsidP="00AF0AF5">
      <w:pPr>
        <w:adjustRightInd w:val="0"/>
        <w:snapToGrid w:val="0"/>
        <w:spacing w:before="100" w:beforeAutospacing="1" w:after="100" w:afterAutospacing="1" w:line="360" w:lineRule="auto"/>
        <w:ind w:firstLineChars="200" w:firstLine="562"/>
        <w:contextualSpacing/>
        <w:rPr>
          <w:rFonts w:ascii="宋体" w:eastAsia="宋体" w:hAnsi="宋体"/>
          <w:b/>
          <w:bCs/>
          <w:sz w:val="28"/>
          <w:szCs w:val="28"/>
        </w:rPr>
      </w:pPr>
      <w:r w:rsidRPr="006126F2">
        <w:rPr>
          <w:rFonts w:ascii="宋体" w:eastAsia="宋体" w:hAnsi="宋体" w:hint="eastAsia"/>
          <w:b/>
          <w:bCs/>
          <w:sz w:val="28"/>
          <w:szCs w:val="28"/>
        </w:rPr>
        <w:t>三</w:t>
      </w:r>
      <w:r w:rsidR="00F40FD3" w:rsidRPr="006126F2">
        <w:rPr>
          <w:rFonts w:ascii="宋体" w:eastAsia="宋体" w:hAnsi="宋体"/>
          <w:b/>
          <w:bCs/>
          <w:sz w:val="28"/>
          <w:szCs w:val="28"/>
        </w:rPr>
        <w:t>、大国博弈与金融强国</w:t>
      </w:r>
    </w:p>
    <w:p w14:paraId="62554110" w14:textId="7B2713E2" w:rsidR="00E404E1" w:rsidRPr="00173C3E" w:rsidRDefault="00E404E1" w:rsidP="00AF0AF5">
      <w:pPr>
        <w:adjustRightInd w:val="0"/>
        <w:snapToGrid w:val="0"/>
        <w:spacing w:before="100" w:beforeAutospacing="1" w:after="100" w:afterAutospacing="1" w:line="360" w:lineRule="auto"/>
        <w:ind w:firstLineChars="200" w:firstLine="480"/>
        <w:contextualSpacing/>
        <w:rPr>
          <w:rStyle w:val="content-right1thtn1"/>
          <w:rFonts w:ascii="Times New Roman" w:eastAsia="宋体" w:hAnsi="Times New Roman" w:cs="Times New Roman"/>
          <w:sz w:val="24"/>
          <w:szCs w:val="24"/>
        </w:rPr>
      </w:pPr>
      <w:r w:rsidRPr="00173C3E">
        <w:rPr>
          <w:rFonts w:ascii="Times New Roman" w:eastAsia="宋体" w:hAnsi="Times New Roman" w:cs="Times New Roman"/>
          <w:sz w:val="24"/>
          <w:szCs w:val="24"/>
        </w:rPr>
        <w:t>关于货币的国家战略和制度</w:t>
      </w:r>
      <w:r w:rsidR="002B166E">
        <w:rPr>
          <w:rFonts w:ascii="Times New Roman" w:eastAsia="宋体" w:hAnsi="Times New Roman" w:cs="Times New Roman" w:hint="eastAsia"/>
          <w:sz w:val="24"/>
          <w:szCs w:val="24"/>
        </w:rPr>
        <w:t>框架</w:t>
      </w:r>
      <w:r w:rsidRPr="00173C3E">
        <w:rPr>
          <w:rFonts w:ascii="Times New Roman" w:eastAsia="宋体" w:hAnsi="Times New Roman" w:cs="Times New Roman"/>
          <w:sz w:val="24"/>
          <w:szCs w:val="24"/>
        </w:rPr>
        <w:t>是国家综合竞争力的重要支撑。关于货币的国家意志和政策安排一般被称为货币国策</w:t>
      </w:r>
      <w:r w:rsidRPr="00173C3E">
        <w:rPr>
          <w:rStyle w:val="content-right1thtn1"/>
          <w:rFonts w:ascii="Times New Roman" w:eastAsia="宋体" w:hAnsi="Times New Roman" w:cs="Times New Roman"/>
          <w:sz w:val="24"/>
          <w:szCs w:val="24"/>
        </w:rPr>
        <w:t>（</w:t>
      </w:r>
      <w:r w:rsidR="005B7C1F">
        <w:rPr>
          <w:rStyle w:val="content-right1thtn1"/>
          <w:rFonts w:ascii="Times New Roman" w:eastAsia="宋体" w:hAnsi="Times New Roman" w:cs="Times New Roman" w:hint="eastAsia"/>
          <w:sz w:val="24"/>
          <w:szCs w:val="24"/>
        </w:rPr>
        <w:t>M</w:t>
      </w:r>
      <w:r w:rsidRPr="00173C3E">
        <w:rPr>
          <w:rStyle w:val="content-right1thtn1"/>
          <w:rFonts w:ascii="Times New Roman" w:eastAsia="宋体" w:hAnsi="Times New Roman" w:cs="Times New Roman"/>
          <w:sz w:val="24"/>
          <w:szCs w:val="24"/>
        </w:rPr>
        <w:t xml:space="preserve">onetary </w:t>
      </w:r>
      <w:r w:rsidR="005B7C1F">
        <w:rPr>
          <w:rStyle w:val="content-right1thtn1"/>
          <w:rFonts w:ascii="Times New Roman" w:eastAsia="宋体" w:hAnsi="Times New Roman" w:cs="Times New Roman"/>
          <w:sz w:val="24"/>
          <w:szCs w:val="24"/>
        </w:rPr>
        <w:t>S</w:t>
      </w:r>
      <w:r w:rsidRPr="00173C3E">
        <w:rPr>
          <w:rStyle w:val="content-right1thtn1"/>
          <w:rFonts w:ascii="Times New Roman" w:eastAsia="宋体" w:hAnsi="Times New Roman" w:cs="Times New Roman"/>
          <w:sz w:val="24"/>
          <w:szCs w:val="24"/>
        </w:rPr>
        <w:t>tatecraft</w:t>
      </w:r>
      <w:r w:rsidRPr="00173C3E">
        <w:rPr>
          <w:rStyle w:val="content-right1thtn1"/>
          <w:rFonts w:ascii="Times New Roman" w:eastAsia="宋体" w:hAnsi="Times New Roman" w:cs="Times New Roman"/>
          <w:sz w:val="24"/>
          <w:szCs w:val="24"/>
        </w:rPr>
        <w:t>）</w:t>
      </w:r>
      <w:r w:rsidRPr="00173C3E">
        <w:rPr>
          <w:rFonts w:ascii="Times New Roman" w:eastAsia="宋体" w:hAnsi="Times New Roman" w:cs="Times New Roman"/>
          <w:sz w:val="24"/>
          <w:szCs w:val="24"/>
        </w:rPr>
        <w:t>。货币国策</w:t>
      </w:r>
      <w:r w:rsidRPr="00173C3E">
        <w:rPr>
          <w:rStyle w:val="content-right1thtn1"/>
          <w:rFonts w:ascii="Times New Roman" w:eastAsia="宋体" w:hAnsi="Times New Roman" w:cs="Times New Roman"/>
          <w:sz w:val="24"/>
          <w:szCs w:val="24"/>
        </w:rPr>
        <w:t>是金融国策</w:t>
      </w:r>
      <w:r w:rsidR="002B166E">
        <w:rPr>
          <w:rStyle w:val="content-right1thtn1"/>
          <w:rFonts w:ascii="Times New Roman" w:eastAsia="宋体" w:hAnsi="Times New Roman" w:cs="Times New Roman" w:hint="eastAsia"/>
          <w:sz w:val="24"/>
          <w:szCs w:val="24"/>
        </w:rPr>
        <w:t>和</w:t>
      </w:r>
      <w:r w:rsidRPr="00173C3E">
        <w:rPr>
          <w:rStyle w:val="content-right1thtn1"/>
          <w:rFonts w:ascii="Times New Roman" w:eastAsia="宋体" w:hAnsi="Times New Roman" w:cs="Times New Roman"/>
          <w:sz w:val="24"/>
          <w:szCs w:val="24"/>
        </w:rPr>
        <w:t>国际金融权力的基础体现</w:t>
      </w:r>
      <w:r w:rsidR="005067AB" w:rsidRPr="00173C3E">
        <w:rPr>
          <w:rStyle w:val="content-right1thtn1"/>
          <w:rFonts w:ascii="Times New Roman" w:eastAsia="宋体" w:hAnsi="Times New Roman" w:cs="Times New Roman"/>
          <w:sz w:val="24"/>
          <w:szCs w:val="24"/>
        </w:rPr>
        <w:t>，</w:t>
      </w:r>
      <w:r w:rsidR="008910AD">
        <w:rPr>
          <w:rStyle w:val="content-right1thtn1"/>
          <w:rFonts w:ascii="Times New Roman" w:eastAsia="宋体" w:hAnsi="Times New Roman" w:cs="Times New Roman" w:hint="eastAsia"/>
          <w:sz w:val="24"/>
          <w:szCs w:val="24"/>
        </w:rPr>
        <w:t>其</w:t>
      </w:r>
      <w:r w:rsidR="005067AB" w:rsidRPr="00173C3E">
        <w:rPr>
          <w:rStyle w:val="content-right1thtn1"/>
          <w:rFonts w:ascii="Times New Roman" w:eastAsia="宋体" w:hAnsi="Times New Roman" w:cs="Times New Roman"/>
          <w:sz w:val="24"/>
          <w:szCs w:val="24"/>
        </w:rPr>
        <w:t>核心是货币主导权与政策自主性</w:t>
      </w:r>
      <w:r w:rsidR="00CA0189" w:rsidRPr="00173C3E">
        <w:rPr>
          <w:rStyle w:val="content-right1thtn1"/>
          <w:rFonts w:ascii="Times New Roman" w:eastAsia="宋体" w:hAnsi="Times New Roman" w:cs="Times New Roman"/>
          <w:sz w:val="24"/>
          <w:szCs w:val="24"/>
        </w:rPr>
        <w:t>及其制度安排</w:t>
      </w:r>
      <w:r w:rsidRPr="00173C3E">
        <w:rPr>
          <w:rStyle w:val="content-right1thtn1"/>
          <w:rFonts w:ascii="Times New Roman" w:eastAsia="宋体" w:hAnsi="Times New Roman" w:cs="Times New Roman"/>
          <w:sz w:val="24"/>
          <w:szCs w:val="24"/>
        </w:rPr>
        <w:t>（</w:t>
      </w:r>
      <w:r w:rsidRPr="00173C3E">
        <w:rPr>
          <w:rStyle w:val="content-right1thtn1"/>
          <w:rFonts w:ascii="Times New Roman" w:eastAsia="宋体" w:hAnsi="Times New Roman" w:cs="Times New Roman"/>
          <w:sz w:val="24"/>
          <w:szCs w:val="24"/>
        </w:rPr>
        <w:t>Steil and Litan</w:t>
      </w:r>
      <w:r w:rsidRPr="00173C3E">
        <w:rPr>
          <w:rStyle w:val="content-right1thtn1"/>
          <w:rFonts w:ascii="Times New Roman" w:eastAsia="宋体" w:hAnsi="Times New Roman" w:cs="Times New Roman"/>
          <w:sz w:val="24"/>
          <w:szCs w:val="24"/>
        </w:rPr>
        <w:t>，</w:t>
      </w:r>
      <w:r w:rsidRPr="00173C3E">
        <w:rPr>
          <w:rStyle w:val="content-right1thtn1"/>
          <w:rFonts w:ascii="Times New Roman" w:eastAsia="宋体" w:hAnsi="Times New Roman" w:cs="Times New Roman"/>
          <w:sz w:val="24"/>
          <w:szCs w:val="24"/>
        </w:rPr>
        <w:t>2006</w:t>
      </w:r>
      <w:r w:rsidRPr="00173C3E">
        <w:rPr>
          <w:rStyle w:val="content-right1thtn1"/>
          <w:rFonts w:ascii="Times New Roman" w:eastAsia="宋体" w:hAnsi="Times New Roman" w:cs="Times New Roman"/>
          <w:sz w:val="24"/>
          <w:szCs w:val="24"/>
        </w:rPr>
        <w:t>）</w:t>
      </w:r>
      <w:r w:rsidR="002B166E">
        <w:rPr>
          <w:rStyle w:val="content-right1thtn1"/>
          <w:rFonts w:ascii="Times New Roman" w:eastAsia="宋体" w:hAnsi="Times New Roman" w:cs="Times New Roman" w:hint="eastAsia"/>
          <w:sz w:val="24"/>
          <w:szCs w:val="24"/>
        </w:rPr>
        <w:t>。</w:t>
      </w:r>
      <w:r w:rsidR="002B166E">
        <w:rPr>
          <w:rStyle w:val="content-right1thtn1"/>
          <w:rFonts w:ascii="Times New Roman" w:eastAsia="宋体" w:hAnsi="Times New Roman" w:cs="Times New Roman"/>
          <w:sz w:val="24"/>
          <w:szCs w:val="24"/>
        </w:rPr>
        <w:t>以主权信用货币作为核心</w:t>
      </w:r>
      <w:r w:rsidRPr="00173C3E">
        <w:rPr>
          <w:rStyle w:val="content-right1thtn1"/>
          <w:rFonts w:ascii="Times New Roman" w:eastAsia="宋体" w:hAnsi="Times New Roman" w:cs="Times New Roman"/>
          <w:sz w:val="24"/>
          <w:szCs w:val="24"/>
        </w:rPr>
        <w:t>的国际货币体系具有不稳定</w:t>
      </w:r>
      <w:r w:rsidR="002B166E">
        <w:rPr>
          <w:rStyle w:val="content-right1thtn1"/>
          <w:rFonts w:ascii="Times New Roman" w:eastAsia="宋体" w:hAnsi="Times New Roman" w:cs="Times New Roman" w:hint="eastAsia"/>
          <w:sz w:val="24"/>
          <w:szCs w:val="24"/>
        </w:rPr>
        <w:t>性</w:t>
      </w:r>
      <w:r w:rsidRPr="00173C3E">
        <w:rPr>
          <w:rStyle w:val="content-right1thtn1"/>
          <w:rFonts w:ascii="Times New Roman" w:eastAsia="宋体" w:hAnsi="Times New Roman" w:cs="Times New Roman"/>
          <w:sz w:val="24"/>
          <w:szCs w:val="24"/>
        </w:rPr>
        <w:t>、</w:t>
      </w:r>
      <w:proofErr w:type="gramStart"/>
      <w:r w:rsidRPr="00173C3E">
        <w:rPr>
          <w:rStyle w:val="content-right1thtn1"/>
          <w:rFonts w:ascii="Times New Roman" w:eastAsia="宋体" w:hAnsi="Times New Roman" w:cs="Times New Roman"/>
          <w:sz w:val="24"/>
          <w:szCs w:val="24"/>
        </w:rPr>
        <w:t>不</w:t>
      </w:r>
      <w:proofErr w:type="gramEnd"/>
      <w:r w:rsidRPr="00173C3E">
        <w:rPr>
          <w:rStyle w:val="content-right1thtn1"/>
          <w:rFonts w:ascii="Times New Roman" w:eastAsia="宋体" w:hAnsi="Times New Roman" w:cs="Times New Roman"/>
          <w:sz w:val="24"/>
          <w:szCs w:val="24"/>
        </w:rPr>
        <w:t>均</w:t>
      </w:r>
      <w:r w:rsidR="005067AB" w:rsidRPr="00173C3E">
        <w:rPr>
          <w:rStyle w:val="content-right1thtn1"/>
          <w:rFonts w:ascii="Times New Roman" w:eastAsia="宋体" w:hAnsi="Times New Roman" w:cs="Times New Roman"/>
          <w:sz w:val="24"/>
          <w:szCs w:val="24"/>
        </w:rPr>
        <w:t>衡</w:t>
      </w:r>
      <w:r w:rsidR="002B166E">
        <w:rPr>
          <w:rStyle w:val="content-right1thtn1"/>
          <w:rFonts w:ascii="Times New Roman" w:eastAsia="宋体" w:hAnsi="Times New Roman" w:cs="Times New Roman" w:hint="eastAsia"/>
          <w:sz w:val="24"/>
          <w:szCs w:val="24"/>
        </w:rPr>
        <w:t>性</w:t>
      </w:r>
      <w:r w:rsidR="002B166E">
        <w:rPr>
          <w:rStyle w:val="content-right1thtn1"/>
          <w:rFonts w:ascii="Times New Roman" w:eastAsia="宋体" w:hAnsi="Times New Roman" w:cs="Times New Roman"/>
          <w:sz w:val="24"/>
          <w:szCs w:val="24"/>
        </w:rPr>
        <w:t>和不对称</w:t>
      </w:r>
      <w:r w:rsidR="002B166E">
        <w:rPr>
          <w:rStyle w:val="content-right1thtn1"/>
          <w:rFonts w:ascii="Times New Roman" w:eastAsia="宋体" w:hAnsi="Times New Roman" w:cs="Times New Roman" w:hint="eastAsia"/>
          <w:sz w:val="24"/>
          <w:szCs w:val="24"/>
        </w:rPr>
        <w:t>性</w:t>
      </w:r>
      <w:r w:rsidR="005067AB" w:rsidRPr="00173C3E">
        <w:rPr>
          <w:rStyle w:val="content-right1thtn1"/>
          <w:rFonts w:ascii="Times New Roman" w:eastAsia="宋体" w:hAnsi="Times New Roman" w:cs="Times New Roman"/>
          <w:sz w:val="24"/>
          <w:szCs w:val="24"/>
        </w:rPr>
        <w:t>，核心</w:t>
      </w:r>
      <w:proofErr w:type="gramStart"/>
      <w:r w:rsidR="005067AB" w:rsidRPr="00173C3E">
        <w:rPr>
          <w:rStyle w:val="content-right1thtn1"/>
          <w:rFonts w:ascii="Times New Roman" w:eastAsia="宋体" w:hAnsi="Times New Roman" w:cs="Times New Roman"/>
          <w:sz w:val="24"/>
          <w:szCs w:val="24"/>
        </w:rPr>
        <w:t>货币国</w:t>
      </w:r>
      <w:proofErr w:type="gramEnd"/>
      <w:r w:rsidR="005067AB" w:rsidRPr="00173C3E">
        <w:rPr>
          <w:rStyle w:val="content-right1thtn1"/>
          <w:rFonts w:ascii="Times New Roman" w:eastAsia="宋体" w:hAnsi="Times New Roman" w:cs="Times New Roman"/>
          <w:sz w:val="24"/>
          <w:szCs w:val="24"/>
        </w:rPr>
        <w:t>的政策存在显著的外溢效应，</w:t>
      </w:r>
      <w:r w:rsidRPr="00173C3E">
        <w:rPr>
          <w:rStyle w:val="content-right1thtn1"/>
          <w:rFonts w:ascii="Times New Roman" w:eastAsia="宋体" w:hAnsi="Times New Roman" w:cs="Times New Roman"/>
          <w:sz w:val="24"/>
          <w:szCs w:val="24"/>
        </w:rPr>
        <w:t>其政策</w:t>
      </w:r>
      <w:r w:rsidR="002B166E">
        <w:rPr>
          <w:rStyle w:val="content-right1thtn1"/>
          <w:rFonts w:ascii="Times New Roman" w:eastAsia="宋体" w:hAnsi="Times New Roman" w:cs="Times New Roman" w:hint="eastAsia"/>
          <w:sz w:val="24"/>
          <w:szCs w:val="24"/>
        </w:rPr>
        <w:t>的</w:t>
      </w:r>
      <w:r w:rsidR="002B166E">
        <w:rPr>
          <w:rStyle w:val="content-right1thtn1"/>
          <w:rFonts w:ascii="Times New Roman" w:eastAsia="宋体" w:hAnsi="Times New Roman" w:cs="Times New Roman"/>
          <w:sz w:val="24"/>
          <w:szCs w:val="24"/>
        </w:rPr>
        <w:t>负面冲击或调整责任主要</w:t>
      </w:r>
      <w:r w:rsidRPr="00173C3E">
        <w:rPr>
          <w:rStyle w:val="content-right1thtn1"/>
          <w:rFonts w:ascii="Times New Roman" w:eastAsia="宋体" w:hAnsi="Times New Roman" w:cs="Times New Roman"/>
          <w:sz w:val="24"/>
          <w:szCs w:val="24"/>
        </w:rPr>
        <w:t>由外围经济体系来承担。为此，一个国家金融如果不够强大，那可能就要遭遇金融霸权国家的外溢冲击（张晓晶，</w:t>
      </w:r>
      <w:r w:rsidRPr="00173C3E">
        <w:rPr>
          <w:rStyle w:val="content-right1thtn1"/>
          <w:rFonts w:ascii="Times New Roman" w:eastAsia="宋体" w:hAnsi="Times New Roman" w:cs="Times New Roman"/>
          <w:sz w:val="24"/>
          <w:szCs w:val="24"/>
        </w:rPr>
        <w:t>2024</w:t>
      </w:r>
      <w:r w:rsidR="006E2C04">
        <w:rPr>
          <w:rStyle w:val="content-right1thtn1"/>
          <w:rFonts w:ascii="Times New Roman" w:eastAsia="宋体" w:hAnsi="Times New Roman" w:cs="Times New Roman" w:hint="eastAsia"/>
          <w:sz w:val="24"/>
          <w:szCs w:val="24"/>
        </w:rPr>
        <w:t>a</w:t>
      </w:r>
      <w:r w:rsidRPr="00173C3E">
        <w:rPr>
          <w:rStyle w:val="content-right1thtn1"/>
          <w:rFonts w:ascii="Times New Roman" w:eastAsia="宋体" w:hAnsi="Times New Roman" w:cs="Times New Roman"/>
          <w:sz w:val="24"/>
          <w:szCs w:val="24"/>
        </w:rPr>
        <w:t>）。更重要的是，大型经济体需要根据自身经济周期和经济结构的变化</w:t>
      </w:r>
      <w:r w:rsidR="007E2E70">
        <w:rPr>
          <w:rStyle w:val="content-right1thtn1"/>
          <w:rFonts w:ascii="Times New Roman" w:eastAsia="宋体" w:hAnsi="Times New Roman" w:cs="Times New Roman" w:hint="eastAsia"/>
          <w:sz w:val="24"/>
          <w:szCs w:val="24"/>
        </w:rPr>
        <w:t>动态应对</w:t>
      </w:r>
      <w:r w:rsidRPr="00173C3E">
        <w:rPr>
          <w:rStyle w:val="content-right1thtn1"/>
          <w:rFonts w:ascii="Times New Roman" w:eastAsia="宋体" w:hAnsi="Times New Roman" w:cs="Times New Roman"/>
          <w:sz w:val="24"/>
          <w:szCs w:val="24"/>
        </w:rPr>
        <w:t>，货币主导权</w:t>
      </w:r>
      <w:r w:rsidR="005067AB" w:rsidRPr="00173C3E">
        <w:rPr>
          <w:rStyle w:val="content-right1thtn1"/>
          <w:rFonts w:ascii="Times New Roman" w:eastAsia="宋体" w:hAnsi="Times New Roman" w:cs="Times New Roman"/>
          <w:sz w:val="24"/>
          <w:szCs w:val="24"/>
        </w:rPr>
        <w:t>和政策主导性</w:t>
      </w:r>
      <w:r w:rsidRPr="00173C3E">
        <w:rPr>
          <w:rStyle w:val="content-right1thtn1"/>
          <w:rFonts w:ascii="Times New Roman" w:eastAsia="宋体" w:hAnsi="Times New Roman" w:cs="Times New Roman"/>
          <w:sz w:val="24"/>
          <w:szCs w:val="24"/>
        </w:rPr>
        <w:t>对大型经济体非常关键。</w:t>
      </w:r>
      <w:r w:rsidR="005067AB" w:rsidRPr="00173C3E">
        <w:rPr>
          <w:rStyle w:val="content-right1thtn1"/>
          <w:rFonts w:ascii="Times New Roman" w:eastAsia="宋体" w:hAnsi="Times New Roman" w:cs="Times New Roman"/>
          <w:sz w:val="24"/>
          <w:szCs w:val="24"/>
        </w:rPr>
        <w:t>由于大国之间相对力量经常是此消彼长、起伏反复，这就带来了</w:t>
      </w:r>
      <w:r w:rsidRPr="00173C3E">
        <w:rPr>
          <w:rStyle w:val="content-right1thtn1"/>
          <w:rFonts w:ascii="Times New Roman" w:eastAsia="宋体" w:hAnsi="Times New Roman" w:cs="Times New Roman"/>
          <w:sz w:val="24"/>
          <w:szCs w:val="24"/>
        </w:rPr>
        <w:t>货币主导权更迭和大国</w:t>
      </w:r>
      <w:r w:rsidR="005067AB" w:rsidRPr="00173C3E">
        <w:rPr>
          <w:rStyle w:val="content-right1thtn1"/>
          <w:rFonts w:ascii="Times New Roman" w:eastAsia="宋体" w:hAnsi="Times New Roman" w:cs="Times New Roman"/>
          <w:sz w:val="24"/>
          <w:szCs w:val="24"/>
        </w:rPr>
        <w:t>金融</w:t>
      </w:r>
      <w:r w:rsidRPr="00173C3E">
        <w:rPr>
          <w:rStyle w:val="content-right1thtn1"/>
          <w:rFonts w:ascii="Times New Roman" w:eastAsia="宋体" w:hAnsi="Times New Roman" w:cs="Times New Roman"/>
          <w:sz w:val="24"/>
          <w:szCs w:val="24"/>
        </w:rPr>
        <w:t>博弈。</w:t>
      </w:r>
    </w:p>
    <w:p w14:paraId="7BADDD06" w14:textId="5F2B4684" w:rsidR="00532AC9" w:rsidRPr="00173C3E" w:rsidRDefault="00E404E1" w:rsidP="00AF0AF5">
      <w:pPr>
        <w:adjustRightInd w:val="0"/>
        <w:snapToGrid w:val="0"/>
        <w:spacing w:before="100" w:beforeAutospacing="1" w:after="100" w:afterAutospacing="1" w:line="360" w:lineRule="auto"/>
        <w:ind w:firstLineChars="200" w:firstLine="480"/>
        <w:contextualSpacing/>
        <w:rPr>
          <w:rStyle w:val="content-right1thtn1"/>
          <w:rFonts w:ascii="Times New Roman" w:eastAsia="宋体" w:hAnsi="Times New Roman" w:cs="Times New Roman"/>
          <w:sz w:val="24"/>
          <w:szCs w:val="24"/>
        </w:rPr>
      </w:pPr>
      <w:r w:rsidRPr="00173C3E">
        <w:rPr>
          <w:rStyle w:val="content-right1thtn1"/>
          <w:rFonts w:ascii="Times New Roman" w:eastAsia="宋体" w:hAnsi="Times New Roman" w:cs="Times New Roman"/>
          <w:sz w:val="24"/>
          <w:szCs w:val="24"/>
        </w:rPr>
        <w:t>金融强国是中国既定的国策，亟需有效的抓手加以推进。</w:t>
      </w:r>
      <w:r w:rsidR="00F40FD3" w:rsidRPr="00173C3E">
        <w:rPr>
          <w:rStyle w:val="content-right1thtn1"/>
          <w:rFonts w:ascii="Times New Roman" w:eastAsia="宋体" w:hAnsi="Times New Roman" w:cs="Times New Roman"/>
          <w:sz w:val="24"/>
          <w:szCs w:val="24"/>
        </w:rPr>
        <w:t>金融是国民经济的血脉，是国家核心竞争力的重要组成部分。金融强国建设</w:t>
      </w:r>
      <w:r w:rsidR="006743A0" w:rsidRPr="00173C3E">
        <w:rPr>
          <w:rStyle w:val="content-right1thtn1"/>
          <w:rFonts w:ascii="Times New Roman" w:eastAsia="宋体" w:hAnsi="Times New Roman" w:cs="Times New Roman"/>
          <w:sz w:val="24"/>
          <w:szCs w:val="24"/>
        </w:rPr>
        <w:t>代表</w:t>
      </w:r>
      <w:r w:rsidR="00F40FD3" w:rsidRPr="00173C3E">
        <w:rPr>
          <w:rStyle w:val="content-right1thtn1"/>
          <w:rFonts w:ascii="Times New Roman" w:eastAsia="宋体" w:hAnsi="Times New Roman" w:cs="Times New Roman"/>
          <w:sz w:val="24"/>
          <w:szCs w:val="24"/>
        </w:rPr>
        <w:t>本国金融体系成为具有全球领先水平，</w:t>
      </w:r>
      <w:r w:rsidR="00F40FD3" w:rsidRPr="006975AE">
        <w:rPr>
          <w:rStyle w:val="content-right1thtn1"/>
          <w:rFonts w:ascii="宋体" w:eastAsia="宋体" w:hAnsi="宋体" w:cs="Times New Roman"/>
          <w:sz w:val="24"/>
          <w:szCs w:val="24"/>
        </w:rPr>
        <w:t>在</w:t>
      </w:r>
      <w:r w:rsidR="00CA0189" w:rsidRPr="006975AE">
        <w:rPr>
          <w:rStyle w:val="content-right1thtn1"/>
          <w:rFonts w:ascii="宋体" w:eastAsia="宋体" w:hAnsi="宋体" w:cs="Times New Roman"/>
          <w:sz w:val="24"/>
          <w:szCs w:val="24"/>
        </w:rPr>
        <w:t xml:space="preserve"> </w:t>
      </w:r>
      <w:r w:rsidR="00F40FD3" w:rsidRPr="006975AE">
        <w:rPr>
          <w:rStyle w:val="content-right1thtn1"/>
          <w:rFonts w:ascii="宋体" w:eastAsia="宋体" w:hAnsi="宋体" w:cs="Times New Roman"/>
          <w:sz w:val="24"/>
          <w:szCs w:val="24"/>
        </w:rPr>
        <w:t>“六个强大”方面拥有较大优势，</w:t>
      </w:r>
      <w:r w:rsidR="003F6AB0" w:rsidRPr="00173C3E">
        <w:rPr>
          <w:rStyle w:val="content-right1thtn1"/>
          <w:rFonts w:ascii="Times New Roman" w:eastAsia="宋体" w:hAnsi="Times New Roman" w:cs="Times New Roman"/>
          <w:sz w:val="24"/>
          <w:szCs w:val="24"/>
        </w:rPr>
        <w:t>进而</w:t>
      </w:r>
      <w:r w:rsidR="006743A0" w:rsidRPr="00173C3E">
        <w:rPr>
          <w:rStyle w:val="content-right1thtn1"/>
          <w:rFonts w:ascii="Times New Roman" w:eastAsia="宋体" w:hAnsi="Times New Roman" w:cs="Times New Roman"/>
          <w:sz w:val="24"/>
          <w:szCs w:val="24"/>
        </w:rPr>
        <w:t>拥有突出的货币主导权、国际货币定价权、国际金融治理话语权以及金融系统稳定保障力</w:t>
      </w:r>
      <w:r w:rsidR="00F40FD3" w:rsidRPr="00173C3E">
        <w:rPr>
          <w:rStyle w:val="content-right1thtn1"/>
          <w:rFonts w:ascii="Times New Roman" w:eastAsia="宋体" w:hAnsi="Times New Roman" w:cs="Times New Roman"/>
          <w:sz w:val="24"/>
          <w:szCs w:val="24"/>
        </w:rPr>
        <w:t>。</w:t>
      </w:r>
      <w:r w:rsidR="006743A0" w:rsidRPr="00173C3E">
        <w:rPr>
          <w:rStyle w:val="content-right1thtn1"/>
          <w:rFonts w:ascii="Times New Roman" w:eastAsia="宋体" w:hAnsi="Times New Roman" w:cs="Times New Roman"/>
          <w:sz w:val="24"/>
          <w:szCs w:val="24"/>
        </w:rPr>
        <w:t>在大国博弈视角下，全面推</w:t>
      </w:r>
      <w:r w:rsidR="006743A0" w:rsidRPr="008E113B">
        <w:rPr>
          <w:rStyle w:val="content-right1thtn1"/>
          <w:rFonts w:ascii="宋体" w:eastAsia="宋体" w:hAnsi="宋体" w:cs="Times New Roman"/>
          <w:sz w:val="24"/>
          <w:szCs w:val="24"/>
        </w:rPr>
        <w:t>进“六个强大”发展建设</w:t>
      </w:r>
      <w:r w:rsidR="001E65BB" w:rsidRPr="008E113B">
        <w:rPr>
          <w:rStyle w:val="content-right1thtn1"/>
          <w:rFonts w:ascii="宋体" w:eastAsia="宋体" w:hAnsi="宋体" w:cs="Times New Roman"/>
          <w:sz w:val="24"/>
          <w:szCs w:val="24"/>
        </w:rPr>
        <w:t>的</w:t>
      </w:r>
      <w:r w:rsidR="006743A0" w:rsidRPr="008E113B">
        <w:rPr>
          <w:rStyle w:val="content-right1thtn1"/>
          <w:rFonts w:ascii="宋体" w:eastAsia="宋体" w:hAnsi="宋体" w:cs="Times New Roman"/>
          <w:sz w:val="24"/>
          <w:szCs w:val="24"/>
        </w:rPr>
        <w:t>同时，还</w:t>
      </w:r>
      <w:r w:rsidR="006743A0" w:rsidRPr="00173C3E">
        <w:rPr>
          <w:rStyle w:val="content-right1thtn1"/>
          <w:rFonts w:ascii="Times New Roman" w:eastAsia="宋体" w:hAnsi="Times New Roman" w:cs="Times New Roman"/>
          <w:sz w:val="24"/>
          <w:szCs w:val="24"/>
        </w:rPr>
        <w:t>需要看到短期亟待加快推进发展的战略领域</w:t>
      </w:r>
      <w:r w:rsidR="00B9785D" w:rsidRPr="00173C3E">
        <w:rPr>
          <w:rStyle w:val="content-right1thtn1"/>
          <w:rFonts w:ascii="Times New Roman" w:eastAsia="宋体" w:hAnsi="Times New Roman" w:cs="Times New Roman"/>
          <w:sz w:val="24"/>
          <w:szCs w:val="24"/>
        </w:rPr>
        <w:t>和薄弱环节</w:t>
      </w:r>
      <w:r w:rsidR="006743A0" w:rsidRPr="00173C3E">
        <w:rPr>
          <w:rStyle w:val="content-right1thtn1"/>
          <w:rFonts w:ascii="Times New Roman" w:eastAsia="宋体" w:hAnsi="Times New Roman" w:cs="Times New Roman"/>
          <w:sz w:val="24"/>
          <w:szCs w:val="24"/>
        </w:rPr>
        <w:t>，这其中包括金融基础设施、</w:t>
      </w:r>
      <w:r w:rsidR="00B9785D" w:rsidRPr="00173C3E">
        <w:rPr>
          <w:rStyle w:val="content-right1thtn1"/>
          <w:rFonts w:ascii="Times New Roman" w:eastAsia="宋体" w:hAnsi="Times New Roman" w:cs="Times New Roman"/>
          <w:sz w:val="24"/>
          <w:szCs w:val="24"/>
        </w:rPr>
        <w:t>强大</w:t>
      </w:r>
      <w:r w:rsidR="006743A0" w:rsidRPr="00173C3E">
        <w:rPr>
          <w:rStyle w:val="content-right1thtn1"/>
          <w:rFonts w:ascii="Times New Roman" w:eastAsia="宋体" w:hAnsi="Times New Roman" w:cs="Times New Roman"/>
          <w:sz w:val="24"/>
          <w:szCs w:val="24"/>
        </w:rPr>
        <w:t>资本市场</w:t>
      </w:r>
      <w:r w:rsidR="000279AC" w:rsidRPr="00173C3E">
        <w:rPr>
          <w:rStyle w:val="content-right1thtn1"/>
          <w:rFonts w:ascii="Times New Roman" w:eastAsia="宋体" w:hAnsi="Times New Roman" w:cs="Times New Roman"/>
          <w:sz w:val="24"/>
          <w:szCs w:val="24"/>
        </w:rPr>
        <w:t>、全球资产布局</w:t>
      </w:r>
      <w:r w:rsidR="006743A0" w:rsidRPr="00173C3E">
        <w:rPr>
          <w:rStyle w:val="content-right1thtn1"/>
          <w:rFonts w:ascii="Times New Roman" w:eastAsia="宋体" w:hAnsi="Times New Roman" w:cs="Times New Roman"/>
          <w:sz w:val="24"/>
          <w:szCs w:val="24"/>
        </w:rPr>
        <w:t>以及数字金融等</w:t>
      </w:r>
      <w:r w:rsidR="00F40FD3" w:rsidRPr="00173C3E">
        <w:rPr>
          <w:rStyle w:val="content-right1thtn1"/>
          <w:rFonts w:ascii="Times New Roman" w:eastAsia="宋体" w:hAnsi="Times New Roman" w:cs="Times New Roman"/>
          <w:sz w:val="24"/>
          <w:szCs w:val="24"/>
        </w:rPr>
        <w:t>。</w:t>
      </w:r>
    </w:p>
    <w:p w14:paraId="580523B1" w14:textId="77777777" w:rsidR="00851842" w:rsidRPr="00155F37" w:rsidRDefault="00851842" w:rsidP="00AF0AF5">
      <w:pPr>
        <w:adjustRightInd w:val="0"/>
        <w:snapToGrid w:val="0"/>
        <w:spacing w:before="100" w:beforeAutospacing="1" w:after="100" w:afterAutospacing="1" w:line="360" w:lineRule="auto"/>
        <w:ind w:firstLineChars="200" w:firstLine="480"/>
        <w:contextualSpacing/>
        <w:rPr>
          <w:rFonts w:ascii="宋体" w:eastAsia="宋体" w:hAnsi="宋体"/>
          <w:sz w:val="24"/>
          <w:szCs w:val="24"/>
        </w:rPr>
      </w:pPr>
      <w:r w:rsidRPr="00155F37">
        <w:rPr>
          <w:rFonts w:ascii="宋体" w:eastAsia="宋体" w:hAnsi="宋体" w:hint="eastAsia"/>
          <w:sz w:val="24"/>
          <w:szCs w:val="24"/>
        </w:rPr>
        <w:t>（一）金融</w:t>
      </w:r>
      <w:r w:rsidR="008779AA" w:rsidRPr="00155F37">
        <w:rPr>
          <w:rFonts w:ascii="宋体" w:eastAsia="宋体" w:hAnsi="宋体" w:hint="eastAsia"/>
          <w:sz w:val="24"/>
          <w:szCs w:val="24"/>
        </w:rPr>
        <w:t>基础</w:t>
      </w:r>
      <w:r w:rsidRPr="00155F37">
        <w:rPr>
          <w:rFonts w:ascii="宋体" w:eastAsia="宋体" w:hAnsi="宋体" w:hint="eastAsia"/>
          <w:sz w:val="24"/>
          <w:szCs w:val="24"/>
        </w:rPr>
        <w:t>设施</w:t>
      </w:r>
    </w:p>
    <w:p w14:paraId="59D7DFA2" w14:textId="5AA18E88" w:rsidR="00225474" w:rsidRPr="00173C3E" w:rsidRDefault="00225474"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sidRPr="00173C3E">
        <w:rPr>
          <w:rFonts w:ascii="Times New Roman" w:eastAsia="宋体" w:hAnsi="Times New Roman" w:cs="Times New Roman"/>
          <w:sz w:val="24"/>
          <w:szCs w:val="24"/>
        </w:rPr>
        <w:lastRenderedPageBreak/>
        <w:t>金融基础设施是大国</w:t>
      </w:r>
      <w:r w:rsidR="00A47305" w:rsidRPr="00173C3E">
        <w:rPr>
          <w:rFonts w:ascii="Times New Roman" w:eastAsia="宋体" w:hAnsi="Times New Roman" w:cs="Times New Roman"/>
          <w:sz w:val="24"/>
          <w:szCs w:val="24"/>
        </w:rPr>
        <w:t>金融博弈</w:t>
      </w:r>
      <w:r w:rsidRPr="00173C3E">
        <w:rPr>
          <w:rFonts w:ascii="Times New Roman" w:eastAsia="宋体" w:hAnsi="Times New Roman" w:cs="Times New Roman"/>
          <w:sz w:val="24"/>
          <w:szCs w:val="24"/>
        </w:rPr>
        <w:t>的必争之地，</w:t>
      </w:r>
      <w:r w:rsidR="00A47305" w:rsidRPr="00173C3E">
        <w:rPr>
          <w:rFonts w:ascii="Times New Roman" w:eastAsia="宋体" w:hAnsi="Times New Roman" w:cs="Times New Roman"/>
          <w:sz w:val="24"/>
          <w:szCs w:val="24"/>
        </w:rPr>
        <w:t>大型经济体之间不断就货币竞争力或主导权进行不见硝烟的竞争</w:t>
      </w:r>
      <w:r w:rsidR="007E2E70">
        <w:rPr>
          <w:rFonts w:ascii="Times New Roman" w:eastAsia="宋体" w:hAnsi="Times New Roman" w:cs="Times New Roman"/>
          <w:sz w:val="24"/>
          <w:szCs w:val="24"/>
        </w:rPr>
        <w:t>，</w:t>
      </w:r>
      <w:r w:rsidR="007E2E70">
        <w:rPr>
          <w:rFonts w:ascii="Times New Roman" w:eastAsia="宋体" w:hAnsi="Times New Roman" w:cs="Times New Roman" w:hint="eastAsia"/>
          <w:sz w:val="24"/>
          <w:szCs w:val="24"/>
        </w:rPr>
        <w:t>这其中包括</w:t>
      </w:r>
      <w:r w:rsidRPr="00173C3E">
        <w:rPr>
          <w:rFonts w:ascii="Times New Roman" w:eastAsia="宋体" w:hAnsi="Times New Roman" w:cs="Times New Roman"/>
          <w:sz w:val="24"/>
          <w:szCs w:val="24"/>
        </w:rPr>
        <w:t>金融基础设施的布局之争。</w:t>
      </w:r>
      <w:r w:rsidR="00DC321A" w:rsidRPr="00173C3E">
        <w:rPr>
          <w:rFonts w:ascii="Times New Roman" w:eastAsia="宋体" w:hAnsi="Times New Roman" w:cs="Times New Roman"/>
          <w:sz w:val="24"/>
          <w:szCs w:val="24"/>
        </w:rPr>
        <w:t>金融基础设施是为各类金融活动提供基础性公共服务的系统及制度安排，在金融市场运行中居于枢纽地位，是金融市场稳健高效运行的基础性保障</w:t>
      </w:r>
      <w:r w:rsidR="00F90D8B">
        <w:rPr>
          <w:rFonts w:ascii="Times New Roman" w:eastAsia="宋体" w:hAnsi="Times New Roman" w:cs="Times New Roman" w:hint="eastAsia"/>
          <w:sz w:val="24"/>
          <w:szCs w:val="24"/>
        </w:rPr>
        <w:t>（</w:t>
      </w:r>
      <w:r w:rsidR="00F90D8B" w:rsidRPr="00F90D8B">
        <w:rPr>
          <w:rFonts w:ascii="Times New Roman" w:eastAsia="宋体" w:hAnsi="Times New Roman" w:cs="Times New Roman"/>
          <w:sz w:val="24"/>
          <w:szCs w:val="24"/>
        </w:rPr>
        <w:t>焦瑾璞</w:t>
      </w:r>
      <w:r w:rsidR="00F90D8B" w:rsidRPr="00F90D8B">
        <w:rPr>
          <w:rFonts w:ascii="Times New Roman" w:eastAsia="宋体" w:hAnsi="Times New Roman" w:cs="Times New Roman" w:hint="eastAsia"/>
          <w:sz w:val="24"/>
          <w:szCs w:val="24"/>
        </w:rPr>
        <w:t>，</w:t>
      </w:r>
      <w:r w:rsidR="00F90D8B" w:rsidRPr="00F90D8B">
        <w:rPr>
          <w:rFonts w:ascii="Times New Roman" w:eastAsia="宋体" w:hAnsi="Times New Roman" w:cs="Times New Roman"/>
          <w:sz w:val="24"/>
          <w:szCs w:val="24"/>
        </w:rPr>
        <w:t>2019</w:t>
      </w:r>
      <w:r w:rsidR="00F90D8B" w:rsidRPr="00F90D8B">
        <w:rPr>
          <w:rFonts w:ascii="Times New Roman" w:eastAsia="宋体" w:hAnsi="Times New Roman" w:cs="Times New Roman" w:hint="eastAsia"/>
          <w:sz w:val="24"/>
          <w:szCs w:val="24"/>
        </w:rPr>
        <w:t>）</w:t>
      </w:r>
      <w:r w:rsidR="00DC321A" w:rsidRPr="00173C3E">
        <w:rPr>
          <w:rFonts w:ascii="Times New Roman" w:eastAsia="宋体" w:hAnsi="Times New Roman" w:cs="Times New Roman"/>
          <w:sz w:val="24"/>
          <w:szCs w:val="24"/>
        </w:rPr>
        <w:t>。狭义的金融基础设施是一套构建于不同类型参与机构之间的多边系统，为参与者提供金融交易的集中清算、结算和登记，以提高效率并降低成本和风险，包含支付系统，证券结算系统、中央托管系统、中央对手方和交易数据库等。广义上，金融基础设施涵盖所有以保证金融市场平稳、持续、安全运行为目标，能够为金融活动提供</w:t>
      </w:r>
      <w:r w:rsidR="009B670F" w:rsidRPr="00173C3E">
        <w:rPr>
          <w:rFonts w:ascii="Times New Roman" w:eastAsia="宋体" w:hAnsi="Times New Roman" w:cs="Times New Roman"/>
          <w:sz w:val="24"/>
          <w:szCs w:val="24"/>
        </w:rPr>
        <w:t>运营</w:t>
      </w:r>
      <w:r w:rsidR="00DC321A" w:rsidRPr="00173C3E">
        <w:rPr>
          <w:rFonts w:ascii="Times New Roman" w:eastAsia="宋体" w:hAnsi="Times New Roman" w:cs="Times New Roman"/>
          <w:sz w:val="24"/>
          <w:szCs w:val="24"/>
        </w:rPr>
        <w:t>服务的硬件设施和相应的制度</w:t>
      </w:r>
      <w:r w:rsidR="009B670F" w:rsidRPr="00173C3E">
        <w:rPr>
          <w:rFonts w:ascii="Times New Roman" w:eastAsia="宋体" w:hAnsi="Times New Roman" w:cs="Times New Roman"/>
          <w:sz w:val="24"/>
          <w:szCs w:val="24"/>
        </w:rPr>
        <w:t>支撑，如基本的支付</w:t>
      </w:r>
      <w:r w:rsidR="00DC321A" w:rsidRPr="00173C3E">
        <w:rPr>
          <w:rFonts w:ascii="Times New Roman" w:eastAsia="宋体" w:hAnsi="Times New Roman" w:cs="Times New Roman"/>
          <w:sz w:val="24"/>
          <w:szCs w:val="24"/>
        </w:rPr>
        <w:t>清算系统、会计准则、金融法律法规、监管规则等</w:t>
      </w:r>
      <w:r w:rsidRPr="00173C3E">
        <w:rPr>
          <w:rFonts w:ascii="Times New Roman" w:eastAsia="宋体" w:hAnsi="Times New Roman" w:cs="Times New Roman"/>
          <w:sz w:val="24"/>
          <w:szCs w:val="24"/>
        </w:rPr>
        <w:t>，广义金融基础设施</w:t>
      </w:r>
      <w:r w:rsidR="00A47305" w:rsidRPr="00173C3E">
        <w:rPr>
          <w:rFonts w:ascii="Times New Roman" w:eastAsia="宋体" w:hAnsi="Times New Roman" w:cs="Times New Roman"/>
          <w:sz w:val="24"/>
          <w:szCs w:val="24"/>
        </w:rPr>
        <w:t>基本可以视为</w:t>
      </w:r>
      <w:r w:rsidR="000279AC" w:rsidRPr="00173C3E">
        <w:rPr>
          <w:rFonts w:ascii="Times New Roman" w:eastAsia="宋体" w:hAnsi="Times New Roman" w:cs="Times New Roman"/>
          <w:sz w:val="24"/>
          <w:szCs w:val="24"/>
        </w:rPr>
        <w:t>在硬件基础设施之上加上软件基础设施</w:t>
      </w:r>
      <w:r w:rsidR="00CD39E2">
        <w:rPr>
          <w:rFonts w:ascii="Times New Roman" w:eastAsia="宋体" w:hAnsi="Times New Roman" w:cs="Times New Roman" w:hint="eastAsia"/>
          <w:sz w:val="24"/>
          <w:szCs w:val="24"/>
        </w:rPr>
        <w:t>。</w:t>
      </w:r>
    </w:p>
    <w:p w14:paraId="3F1C4A1D" w14:textId="6EEE3843" w:rsidR="000279AC" w:rsidRPr="00BF0748" w:rsidRDefault="000279AC" w:rsidP="00AF0AF5">
      <w:pPr>
        <w:adjustRightInd w:val="0"/>
        <w:snapToGrid w:val="0"/>
        <w:spacing w:before="100" w:beforeAutospacing="1" w:after="100" w:afterAutospacing="1" w:line="360" w:lineRule="auto"/>
        <w:ind w:firstLineChars="200" w:firstLine="480"/>
        <w:contextualSpacing/>
        <w:rPr>
          <w:rFonts w:ascii="宋体" w:eastAsia="宋体" w:hAnsi="宋体" w:cs="Times New Roman"/>
          <w:sz w:val="24"/>
          <w:szCs w:val="24"/>
        </w:rPr>
      </w:pPr>
      <w:r w:rsidRPr="00173C3E">
        <w:rPr>
          <w:rFonts w:ascii="Times New Roman" w:eastAsia="宋体" w:hAnsi="Times New Roman" w:cs="Times New Roman"/>
          <w:sz w:val="24"/>
          <w:szCs w:val="24"/>
        </w:rPr>
        <w:t>从硬件看，</w:t>
      </w:r>
      <w:proofErr w:type="gramStart"/>
      <w:r w:rsidRPr="00173C3E">
        <w:rPr>
          <w:rFonts w:ascii="Times New Roman" w:eastAsia="宋体" w:hAnsi="Times New Roman" w:cs="Times New Roman"/>
          <w:sz w:val="24"/>
          <w:szCs w:val="24"/>
        </w:rPr>
        <w:t>最</w:t>
      </w:r>
      <w:proofErr w:type="gramEnd"/>
      <w:r w:rsidRPr="00173C3E">
        <w:rPr>
          <w:rFonts w:ascii="Times New Roman" w:eastAsia="宋体" w:hAnsi="Times New Roman" w:cs="Times New Roman"/>
          <w:sz w:val="24"/>
          <w:szCs w:val="24"/>
        </w:rPr>
        <w:t>关键的金融基础设施是支付清算体系，</w:t>
      </w:r>
      <w:r w:rsidR="00F90D8B">
        <w:rPr>
          <w:rFonts w:ascii="Times New Roman" w:eastAsia="宋体" w:hAnsi="Times New Roman" w:cs="Times New Roman" w:hint="eastAsia"/>
          <w:sz w:val="24"/>
          <w:szCs w:val="24"/>
        </w:rPr>
        <w:t>它</w:t>
      </w:r>
      <w:r w:rsidRPr="00173C3E">
        <w:rPr>
          <w:rFonts w:ascii="Times New Roman" w:eastAsia="宋体" w:hAnsi="Times New Roman" w:cs="Times New Roman"/>
          <w:sz w:val="24"/>
          <w:szCs w:val="24"/>
        </w:rPr>
        <w:t>主要</w:t>
      </w:r>
      <w:r w:rsidR="00225474" w:rsidRPr="00173C3E">
        <w:rPr>
          <w:rFonts w:ascii="Times New Roman" w:eastAsia="宋体" w:hAnsi="Times New Roman" w:cs="Times New Roman"/>
          <w:sz w:val="24"/>
          <w:szCs w:val="24"/>
        </w:rPr>
        <w:t>由</w:t>
      </w:r>
      <w:r w:rsidRPr="00173C3E">
        <w:rPr>
          <w:rFonts w:ascii="Times New Roman" w:eastAsia="宋体" w:hAnsi="Times New Roman" w:cs="Times New Roman"/>
          <w:sz w:val="24"/>
          <w:szCs w:val="24"/>
        </w:rPr>
        <w:t>国内支付清算体系和跨境支付清算体系所组成</w:t>
      </w:r>
      <w:r w:rsidR="00225474" w:rsidRPr="00173C3E">
        <w:rPr>
          <w:rFonts w:ascii="Times New Roman" w:eastAsia="宋体" w:hAnsi="Times New Roman" w:cs="Times New Roman"/>
          <w:sz w:val="24"/>
          <w:szCs w:val="24"/>
        </w:rPr>
        <w:t>，美国在跨境支付清算体系中独具优势</w:t>
      </w:r>
      <w:r w:rsidRPr="00173C3E">
        <w:rPr>
          <w:rFonts w:ascii="Times New Roman" w:eastAsia="宋体" w:hAnsi="Times New Roman" w:cs="Times New Roman"/>
          <w:sz w:val="24"/>
          <w:szCs w:val="24"/>
        </w:rPr>
        <w:t>。从软件看，</w:t>
      </w:r>
      <w:r w:rsidR="007E2E70">
        <w:rPr>
          <w:rFonts w:ascii="Times New Roman" w:eastAsia="宋体" w:hAnsi="Times New Roman" w:cs="Times New Roman" w:hint="eastAsia"/>
          <w:sz w:val="24"/>
          <w:szCs w:val="24"/>
        </w:rPr>
        <w:t>金融基础设施</w:t>
      </w:r>
      <w:r w:rsidRPr="00173C3E">
        <w:rPr>
          <w:rFonts w:ascii="Times New Roman" w:eastAsia="宋体" w:hAnsi="Times New Roman" w:cs="Times New Roman"/>
          <w:sz w:val="24"/>
          <w:szCs w:val="24"/>
        </w:rPr>
        <w:t>主要涉及经济金融信息主导权</w:t>
      </w:r>
      <w:r w:rsidR="00F90D8B">
        <w:rPr>
          <w:rFonts w:ascii="Times New Roman" w:eastAsia="宋体" w:hAnsi="Times New Roman" w:cs="Times New Roman" w:hint="eastAsia"/>
          <w:sz w:val="24"/>
          <w:szCs w:val="24"/>
        </w:rPr>
        <w:t>、</w:t>
      </w:r>
      <w:r w:rsidRPr="00173C3E">
        <w:rPr>
          <w:rFonts w:ascii="Times New Roman" w:eastAsia="宋体" w:hAnsi="Times New Roman" w:cs="Times New Roman"/>
          <w:sz w:val="24"/>
          <w:szCs w:val="24"/>
        </w:rPr>
        <w:t>会计师事务所、律师事务所、评级机构及相关规则标准以及国际金融组织及其治理制度安排</w:t>
      </w:r>
      <w:r w:rsidR="00225474" w:rsidRPr="00173C3E">
        <w:rPr>
          <w:rFonts w:ascii="Times New Roman" w:eastAsia="宋体" w:hAnsi="Times New Roman" w:cs="Times New Roman"/>
          <w:sz w:val="24"/>
          <w:szCs w:val="24"/>
        </w:rPr>
        <w:t>，而</w:t>
      </w:r>
      <w:r w:rsidR="00F90D8B">
        <w:rPr>
          <w:rFonts w:ascii="Times New Roman" w:eastAsia="宋体" w:hAnsi="Times New Roman" w:cs="Times New Roman" w:hint="eastAsia"/>
          <w:sz w:val="24"/>
          <w:szCs w:val="24"/>
        </w:rPr>
        <w:t>这些</w:t>
      </w:r>
      <w:r w:rsidR="00225474" w:rsidRPr="00173C3E">
        <w:rPr>
          <w:rFonts w:ascii="Times New Roman" w:eastAsia="宋体" w:hAnsi="Times New Roman" w:cs="Times New Roman"/>
          <w:sz w:val="24"/>
          <w:szCs w:val="24"/>
        </w:rPr>
        <w:t>领域美国同样具有显著优势</w:t>
      </w:r>
      <w:r w:rsidRPr="00173C3E">
        <w:rPr>
          <w:rFonts w:ascii="Times New Roman" w:eastAsia="宋体" w:hAnsi="Times New Roman" w:cs="Times New Roman"/>
          <w:sz w:val="24"/>
          <w:szCs w:val="24"/>
        </w:rPr>
        <w:t>。</w:t>
      </w:r>
      <w:r w:rsidR="00A47305" w:rsidRPr="00173C3E">
        <w:rPr>
          <w:rFonts w:ascii="Times New Roman" w:eastAsia="宋体" w:hAnsi="Times New Roman" w:cs="Times New Roman"/>
          <w:sz w:val="24"/>
          <w:szCs w:val="24"/>
        </w:rPr>
        <w:t>综合分析看，美国</w:t>
      </w:r>
      <w:r w:rsidR="007E2E70">
        <w:rPr>
          <w:rFonts w:ascii="Times New Roman" w:eastAsia="宋体" w:hAnsi="Times New Roman" w:cs="Times New Roman" w:hint="eastAsia"/>
          <w:sz w:val="24"/>
          <w:szCs w:val="24"/>
        </w:rPr>
        <w:t>当前</w:t>
      </w:r>
      <w:r w:rsidR="00F90D8B">
        <w:rPr>
          <w:rFonts w:ascii="Times New Roman" w:eastAsia="宋体" w:hAnsi="Times New Roman" w:cs="Times New Roman" w:hint="eastAsia"/>
          <w:sz w:val="24"/>
          <w:szCs w:val="24"/>
        </w:rPr>
        <w:t>在很大程度上控制了</w:t>
      </w:r>
      <w:r w:rsidR="00A47305" w:rsidRPr="00173C3E">
        <w:rPr>
          <w:rFonts w:ascii="Times New Roman" w:eastAsia="宋体" w:hAnsi="Times New Roman" w:cs="Times New Roman"/>
          <w:sz w:val="24"/>
          <w:szCs w:val="24"/>
        </w:rPr>
        <w:t>全球金融基础设施</w:t>
      </w:r>
      <w:r w:rsidR="00A47305" w:rsidRPr="00BF0748">
        <w:rPr>
          <w:rFonts w:ascii="宋体" w:eastAsia="宋体" w:hAnsi="宋体" w:cs="Times New Roman"/>
          <w:sz w:val="24"/>
          <w:szCs w:val="24"/>
        </w:rPr>
        <w:t>的“总开关”。</w:t>
      </w:r>
    </w:p>
    <w:p w14:paraId="35B4EF38" w14:textId="78D3E372" w:rsidR="000279AC" w:rsidRPr="00173C3E" w:rsidRDefault="000279AC"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sidRPr="00173C3E">
        <w:rPr>
          <w:rFonts w:ascii="Times New Roman" w:eastAsia="宋体" w:hAnsi="Times New Roman" w:cs="Times New Roman"/>
          <w:sz w:val="24"/>
          <w:szCs w:val="24"/>
        </w:rPr>
        <w:t>中美两国国内支付清算系统的业务量基本处于同一量级。现代商业银行基础存贷款业务，发轫于诸多储户的备付金账户所形成的资金池，经过商业银行中介功能来匹配贷款形成的资产池，其中储蓄投资转化需要以</w:t>
      </w:r>
      <w:r w:rsidR="007E2E70">
        <w:rPr>
          <w:rFonts w:ascii="Times New Roman" w:eastAsia="宋体" w:hAnsi="Times New Roman" w:cs="Times New Roman" w:hint="eastAsia"/>
          <w:sz w:val="24"/>
          <w:szCs w:val="24"/>
        </w:rPr>
        <w:t>稳定高效的</w:t>
      </w:r>
      <w:r w:rsidRPr="00173C3E">
        <w:rPr>
          <w:rFonts w:ascii="Times New Roman" w:eastAsia="宋体" w:hAnsi="Times New Roman" w:cs="Times New Roman"/>
          <w:sz w:val="24"/>
          <w:szCs w:val="24"/>
        </w:rPr>
        <w:t>支付清算基础设施作为支撑。中美两国基于现代通讯技术</w:t>
      </w:r>
      <w:r w:rsidR="007E2E70">
        <w:rPr>
          <w:rFonts w:ascii="Times New Roman" w:eastAsia="宋体" w:hAnsi="Times New Roman" w:cs="Times New Roman"/>
          <w:sz w:val="24"/>
          <w:szCs w:val="24"/>
        </w:rPr>
        <w:t>都建立了以电子数据传输为核心的现代化支付清算系统。美国</w:t>
      </w:r>
      <w:r w:rsidR="007E2E70">
        <w:rPr>
          <w:rFonts w:ascii="Times New Roman" w:eastAsia="宋体" w:hAnsi="Times New Roman" w:cs="Times New Roman" w:hint="eastAsia"/>
          <w:sz w:val="24"/>
          <w:szCs w:val="24"/>
        </w:rPr>
        <w:t>的</w:t>
      </w:r>
      <w:r w:rsidRPr="00173C3E">
        <w:rPr>
          <w:rFonts w:ascii="Times New Roman" w:eastAsia="宋体" w:hAnsi="Times New Roman" w:cs="Times New Roman"/>
          <w:sz w:val="24"/>
          <w:szCs w:val="24"/>
        </w:rPr>
        <w:t>支付清算体系以高科技和高效率著称，核心系统包括联邦资金转账系统（</w:t>
      </w:r>
      <w:r w:rsidRPr="00173C3E">
        <w:rPr>
          <w:rFonts w:ascii="Times New Roman" w:eastAsia="宋体" w:hAnsi="Times New Roman" w:cs="Times New Roman"/>
          <w:sz w:val="24"/>
          <w:szCs w:val="24"/>
        </w:rPr>
        <w:t>FEDWIRE</w:t>
      </w:r>
      <w:r w:rsidRPr="00173C3E">
        <w:rPr>
          <w:rFonts w:ascii="Times New Roman" w:eastAsia="宋体" w:hAnsi="Times New Roman" w:cs="Times New Roman"/>
          <w:sz w:val="24"/>
          <w:szCs w:val="24"/>
        </w:rPr>
        <w:t>）</w:t>
      </w:r>
      <w:r w:rsidR="00E068D8">
        <w:rPr>
          <w:rFonts w:ascii="Times New Roman" w:eastAsia="宋体" w:hAnsi="Times New Roman" w:cs="Times New Roman" w:hint="eastAsia"/>
          <w:sz w:val="24"/>
          <w:szCs w:val="24"/>
        </w:rPr>
        <w:t>和</w:t>
      </w:r>
      <w:r w:rsidRPr="00173C3E">
        <w:rPr>
          <w:rFonts w:ascii="Times New Roman" w:eastAsia="宋体" w:hAnsi="Times New Roman" w:cs="Times New Roman"/>
          <w:sz w:val="24"/>
          <w:szCs w:val="24"/>
        </w:rPr>
        <w:t>纽约清算</w:t>
      </w:r>
      <w:proofErr w:type="gramStart"/>
      <w:r w:rsidRPr="00173C3E">
        <w:rPr>
          <w:rFonts w:ascii="Times New Roman" w:eastAsia="宋体" w:hAnsi="Times New Roman" w:cs="Times New Roman"/>
          <w:sz w:val="24"/>
          <w:szCs w:val="24"/>
        </w:rPr>
        <w:t>所银行</w:t>
      </w:r>
      <w:proofErr w:type="gramEnd"/>
      <w:r w:rsidRPr="00173C3E">
        <w:rPr>
          <w:rFonts w:ascii="Times New Roman" w:eastAsia="宋体" w:hAnsi="Times New Roman" w:cs="Times New Roman"/>
          <w:sz w:val="24"/>
          <w:szCs w:val="24"/>
        </w:rPr>
        <w:t>同业支付系统（</w:t>
      </w:r>
      <w:r w:rsidRPr="00173C3E">
        <w:rPr>
          <w:rFonts w:ascii="Times New Roman" w:eastAsia="宋体" w:hAnsi="Times New Roman" w:cs="Times New Roman"/>
          <w:sz w:val="24"/>
          <w:szCs w:val="24"/>
        </w:rPr>
        <w:t>CHIPS</w:t>
      </w:r>
      <w:r w:rsidR="00E068D8">
        <w:rPr>
          <w:rFonts w:ascii="Times New Roman" w:eastAsia="宋体" w:hAnsi="Times New Roman" w:cs="Times New Roman"/>
          <w:sz w:val="24"/>
          <w:szCs w:val="24"/>
        </w:rPr>
        <w:t>）</w:t>
      </w:r>
      <w:r w:rsidRPr="00173C3E">
        <w:rPr>
          <w:rFonts w:ascii="Times New Roman" w:eastAsia="宋体" w:hAnsi="Times New Roman" w:cs="Times New Roman"/>
          <w:sz w:val="24"/>
          <w:szCs w:val="24"/>
        </w:rPr>
        <w:t>。中国的支付清算体系则由中央银行、清算组织、商业银行、非银行支付机构和行业协会共同构成，核心系统包括中国现代化支付系统（</w:t>
      </w:r>
      <w:r w:rsidRPr="00173C3E">
        <w:rPr>
          <w:rFonts w:ascii="Times New Roman" w:eastAsia="宋体" w:hAnsi="Times New Roman" w:cs="Times New Roman"/>
          <w:sz w:val="24"/>
          <w:szCs w:val="24"/>
        </w:rPr>
        <w:t>CHAPS</w:t>
      </w:r>
      <w:r w:rsidRPr="00173C3E">
        <w:rPr>
          <w:rFonts w:ascii="Times New Roman" w:eastAsia="宋体" w:hAnsi="Times New Roman" w:cs="Times New Roman"/>
          <w:sz w:val="24"/>
          <w:szCs w:val="24"/>
        </w:rPr>
        <w:t>）和人民币跨境结算系统（</w:t>
      </w:r>
      <w:r w:rsidRPr="00173C3E">
        <w:rPr>
          <w:rFonts w:ascii="Times New Roman" w:eastAsia="宋体" w:hAnsi="Times New Roman" w:cs="Times New Roman"/>
          <w:sz w:val="24"/>
          <w:szCs w:val="24"/>
        </w:rPr>
        <w:t>CIPS</w:t>
      </w:r>
      <w:r w:rsidR="00E068D8">
        <w:rPr>
          <w:rFonts w:ascii="Times New Roman" w:eastAsia="宋体" w:hAnsi="Times New Roman" w:cs="Times New Roman"/>
          <w:sz w:val="24"/>
          <w:szCs w:val="24"/>
        </w:rPr>
        <w:t>）</w:t>
      </w:r>
      <w:r w:rsidRPr="00173C3E">
        <w:rPr>
          <w:rFonts w:ascii="Times New Roman" w:eastAsia="宋体" w:hAnsi="Times New Roman" w:cs="Times New Roman"/>
          <w:sz w:val="24"/>
          <w:szCs w:val="24"/>
        </w:rPr>
        <w:t>。其中，</w:t>
      </w:r>
      <w:r w:rsidRPr="00173C3E">
        <w:rPr>
          <w:rFonts w:ascii="Times New Roman" w:eastAsia="宋体" w:hAnsi="Times New Roman" w:cs="Times New Roman"/>
          <w:sz w:val="24"/>
          <w:szCs w:val="24"/>
        </w:rPr>
        <w:t>CHAPS</w:t>
      </w:r>
      <w:r w:rsidRPr="00173C3E">
        <w:rPr>
          <w:rFonts w:ascii="Times New Roman" w:eastAsia="宋体" w:hAnsi="Times New Roman" w:cs="Times New Roman"/>
          <w:sz w:val="24"/>
          <w:szCs w:val="24"/>
        </w:rPr>
        <w:t>和</w:t>
      </w:r>
      <w:r w:rsidRPr="00173C3E">
        <w:rPr>
          <w:rFonts w:ascii="Times New Roman" w:eastAsia="宋体" w:hAnsi="Times New Roman" w:cs="Times New Roman"/>
          <w:sz w:val="24"/>
          <w:szCs w:val="24"/>
        </w:rPr>
        <w:t>FEDWIRE</w:t>
      </w:r>
      <w:r w:rsidRPr="00173C3E">
        <w:rPr>
          <w:rFonts w:ascii="Times New Roman" w:eastAsia="宋体" w:hAnsi="Times New Roman" w:cs="Times New Roman"/>
          <w:sz w:val="24"/>
          <w:szCs w:val="24"/>
        </w:rPr>
        <w:t>分别为中美两国境内主要支付清算系统，</w:t>
      </w:r>
      <w:r w:rsidRPr="00173C3E">
        <w:rPr>
          <w:rFonts w:ascii="Times New Roman" w:eastAsia="宋体" w:hAnsi="Times New Roman" w:cs="Times New Roman"/>
          <w:sz w:val="24"/>
          <w:szCs w:val="24"/>
        </w:rPr>
        <w:t>CIPS</w:t>
      </w:r>
      <w:r w:rsidRPr="00173C3E">
        <w:rPr>
          <w:rFonts w:ascii="Times New Roman" w:eastAsia="宋体" w:hAnsi="Times New Roman" w:cs="Times New Roman"/>
          <w:sz w:val="24"/>
          <w:szCs w:val="24"/>
        </w:rPr>
        <w:t>和</w:t>
      </w:r>
      <w:r w:rsidRPr="00173C3E">
        <w:rPr>
          <w:rFonts w:ascii="Times New Roman" w:eastAsia="宋体" w:hAnsi="Times New Roman" w:cs="Times New Roman"/>
          <w:sz w:val="24"/>
          <w:szCs w:val="24"/>
        </w:rPr>
        <w:t>CHIPS</w:t>
      </w:r>
      <w:r w:rsidRPr="00173C3E">
        <w:rPr>
          <w:rFonts w:ascii="Times New Roman" w:eastAsia="宋体" w:hAnsi="Times New Roman" w:cs="Times New Roman"/>
          <w:sz w:val="24"/>
          <w:szCs w:val="24"/>
        </w:rPr>
        <w:t>分别为中美两国跨境支付清算系统。从境内支付清算系统来看，</w:t>
      </w:r>
      <w:r w:rsidRPr="00173C3E">
        <w:rPr>
          <w:rFonts w:ascii="Times New Roman" w:eastAsia="宋体" w:hAnsi="Times New Roman" w:cs="Times New Roman"/>
          <w:sz w:val="24"/>
          <w:szCs w:val="24"/>
        </w:rPr>
        <w:t>2024</w:t>
      </w:r>
      <w:r w:rsidRPr="00173C3E">
        <w:rPr>
          <w:rFonts w:ascii="Times New Roman" w:eastAsia="宋体" w:hAnsi="Times New Roman" w:cs="Times New Roman"/>
          <w:sz w:val="24"/>
          <w:szCs w:val="24"/>
        </w:rPr>
        <w:t>年一季度中国大额实时支付系统日均处理业务金额约为</w:t>
      </w:r>
      <w:r w:rsidRPr="00173C3E">
        <w:rPr>
          <w:rFonts w:ascii="Times New Roman" w:eastAsia="宋体" w:hAnsi="Times New Roman" w:cs="Times New Roman"/>
          <w:sz w:val="24"/>
          <w:szCs w:val="24"/>
        </w:rPr>
        <w:t>36</w:t>
      </w:r>
      <w:proofErr w:type="gramStart"/>
      <w:r w:rsidRPr="00173C3E">
        <w:rPr>
          <w:rFonts w:ascii="Times New Roman" w:eastAsia="宋体" w:hAnsi="Times New Roman" w:cs="Times New Roman"/>
          <w:sz w:val="24"/>
          <w:szCs w:val="24"/>
        </w:rPr>
        <w:t>万亿</w:t>
      </w:r>
      <w:proofErr w:type="gramEnd"/>
      <w:r w:rsidRPr="00173C3E">
        <w:rPr>
          <w:rFonts w:ascii="Times New Roman" w:eastAsia="宋体" w:hAnsi="Times New Roman" w:cs="Times New Roman"/>
          <w:sz w:val="24"/>
          <w:szCs w:val="24"/>
        </w:rPr>
        <w:t>元，</w:t>
      </w:r>
      <w:r w:rsidRPr="00173C3E">
        <w:rPr>
          <w:rFonts w:ascii="Times New Roman" w:eastAsia="宋体" w:hAnsi="Times New Roman" w:cs="Times New Roman"/>
          <w:sz w:val="24"/>
          <w:szCs w:val="24"/>
        </w:rPr>
        <w:lastRenderedPageBreak/>
        <w:t>同期美国国内大额支付清算日均处理业务金额约为</w:t>
      </w:r>
      <w:r w:rsidRPr="00173C3E">
        <w:rPr>
          <w:rFonts w:ascii="Times New Roman" w:eastAsia="宋体" w:hAnsi="Times New Roman" w:cs="Times New Roman"/>
          <w:sz w:val="24"/>
          <w:szCs w:val="24"/>
        </w:rPr>
        <w:t>4.5</w:t>
      </w:r>
      <w:proofErr w:type="gramStart"/>
      <w:r w:rsidRPr="00173C3E">
        <w:rPr>
          <w:rFonts w:ascii="Times New Roman" w:eastAsia="宋体" w:hAnsi="Times New Roman" w:cs="Times New Roman"/>
          <w:sz w:val="24"/>
          <w:szCs w:val="24"/>
        </w:rPr>
        <w:t>万亿</w:t>
      </w:r>
      <w:proofErr w:type="gramEnd"/>
      <w:r w:rsidRPr="00173C3E">
        <w:rPr>
          <w:rFonts w:ascii="Times New Roman" w:eastAsia="宋体" w:hAnsi="Times New Roman" w:cs="Times New Roman"/>
          <w:sz w:val="24"/>
          <w:szCs w:val="24"/>
        </w:rPr>
        <w:t>美元</w:t>
      </w:r>
      <w:r w:rsidRPr="00173C3E">
        <w:rPr>
          <w:rStyle w:val="ab"/>
          <w:rFonts w:ascii="Times New Roman" w:eastAsia="宋体" w:hAnsi="Times New Roman" w:cs="Times New Roman"/>
          <w:sz w:val="24"/>
          <w:szCs w:val="24"/>
        </w:rPr>
        <w:footnoteReference w:id="7"/>
      </w:r>
      <w:r w:rsidR="00E068D8">
        <w:rPr>
          <w:rFonts w:ascii="Times New Roman" w:eastAsia="宋体" w:hAnsi="Times New Roman" w:cs="Times New Roman" w:hint="eastAsia"/>
          <w:sz w:val="24"/>
          <w:szCs w:val="24"/>
        </w:rPr>
        <w:t>，中国国内支付清算日均规模还略胜一筹</w:t>
      </w:r>
      <w:r w:rsidR="00BF0748">
        <w:rPr>
          <w:rFonts w:ascii="Times New Roman" w:eastAsia="宋体" w:hAnsi="Times New Roman" w:cs="Times New Roman" w:hint="eastAsia"/>
          <w:sz w:val="24"/>
          <w:szCs w:val="24"/>
        </w:rPr>
        <w:t>。</w:t>
      </w:r>
      <w:r w:rsidR="00225474" w:rsidRPr="00173C3E">
        <w:rPr>
          <w:rFonts w:ascii="Times New Roman" w:eastAsia="宋体" w:hAnsi="Times New Roman" w:cs="Times New Roman"/>
          <w:sz w:val="24"/>
          <w:szCs w:val="24"/>
        </w:rPr>
        <w:t>值得关注的是，与中美两国的内部支付清算系统</w:t>
      </w:r>
      <w:r w:rsidR="00470B1A" w:rsidRPr="00173C3E">
        <w:rPr>
          <w:rFonts w:ascii="Times New Roman" w:eastAsia="宋体" w:hAnsi="Times New Roman" w:cs="Times New Roman"/>
          <w:sz w:val="24"/>
          <w:szCs w:val="24"/>
        </w:rPr>
        <w:t>能级</w:t>
      </w:r>
      <w:r w:rsidR="00225474" w:rsidRPr="00173C3E">
        <w:rPr>
          <w:rFonts w:ascii="Times New Roman" w:eastAsia="宋体" w:hAnsi="Times New Roman" w:cs="Times New Roman"/>
          <w:sz w:val="24"/>
          <w:szCs w:val="24"/>
        </w:rPr>
        <w:t>相当的还有泛欧实时全额自动清算系统（</w:t>
      </w:r>
      <w:r w:rsidR="00225474" w:rsidRPr="00173C3E">
        <w:rPr>
          <w:rFonts w:ascii="Times New Roman" w:eastAsia="宋体" w:hAnsi="Times New Roman" w:cs="Times New Roman"/>
          <w:sz w:val="24"/>
          <w:szCs w:val="24"/>
        </w:rPr>
        <w:t>T</w:t>
      </w:r>
      <w:r w:rsidR="00D2701D">
        <w:rPr>
          <w:rFonts w:ascii="Times New Roman" w:eastAsia="宋体" w:hAnsi="Times New Roman" w:cs="Times New Roman"/>
          <w:sz w:val="24"/>
          <w:szCs w:val="24"/>
        </w:rPr>
        <w:t>ARGET</w:t>
      </w:r>
      <w:r w:rsidR="00225474" w:rsidRPr="00173C3E">
        <w:rPr>
          <w:rFonts w:ascii="Times New Roman" w:eastAsia="宋体" w:hAnsi="Times New Roman" w:cs="Times New Roman"/>
          <w:sz w:val="24"/>
          <w:szCs w:val="24"/>
        </w:rPr>
        <w:t>）。</w:t>
      </w:r>
    </w:p>
    <w:p w14:paraId="59297E58" w14:textId="1210DB33" w:rsidR="00DC321A" w:rsidRPr="00173C3E" w:rsidRDefault="00DC321A"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sidRPr="00173C3E">
        <w:rPr>
          <w:rFonts w:ascii="Times New Roman" w:eastAsia="宋体" w:hAnsi="Times New Roman" w:cs="Times New Roman"/>
          <w:sz w:val="24"/>
          <w:szCs w:val="24"/>
        </w:rPr>
        <w:t>从跨境支付清算系统来看，</w:t>
      </w:r>
      <w:r w:rsidR="00225474" w:rsidRPr="00173C3E">
        <w:rPr>
          <w:rFonts w:ascii="Times New Roman" w:eastAsia="宋体" w:hAnsi="Times New Roman" w:cs="Times New Roman"/>
          <w:sz w:val="24"/>
          <w:szCs w:val="24"/>
        </w:rPr>
        <w:t>美国具有显著的优势。</w:t>
      </w:r>
      <w:r w:rsidRPr="00173C3E">
        <w:rPr>
          <w:rFonts w:ascii="Times New Roman" w:eastAsia="宋体" w:hAnsi="Times New Roman" w:cs="Times New Roman"/>
          <w:sz w:val="24"/>
          <w:szCs w:val="24"/>
        </w:rPr>
        <w:t>美国</w:t>
      </w:r>
      <w:r w:rsidRPr="00173C3E">
        <w:rPr>
          <w:rFonts w:ascii="Times New Roman" w:eastAsia="宋体" w:hAnsi="Times New Roman" w:cs="Times New Roman"/>
          <w:sz w:val="24"/>
          <w:szCs w:val="24"/>
        </w:rPr>
        <w:t>CHIPS</w:t>
      </w:r>
      <w:r w:rsidRPr="00173C3E">
        <w:rPr>
          <w:rFonts w:ascii="Times New Roman" w:eastAsia="宋体" w:hAnsi="Times New Roman" w:cs="Times New Roman"/>
          <w:sz w:val="24"/>
          <w:szCs w:val="24"/>
        </w:rPr>
        <w:t>采用环球银行间金融通信协会（</w:t>
      </w:r>
      <w:r w:rsidRPr="00173C3E">
        <w:rPr>
          <w:rFonts w:ascii="Times New Roman" w:eastAsia="宋体" w:hAnsi="Times New Roman" w:cs="Times New Roman"/>
          <w:sz w:val="24"/>
          <w:szCs w:val="24"/>
        </w:rPr>
        <w:t>SWIFT</w:t>
      </w:r>
      <w:r w:rsidRPr="00173C3E">
        <w:rPr>
          <w:rFonts w:ascii="Times New Roman" w:eastAsia="宋体" w:hAnsi="Times New Roman" w:cs="Times New Roman"/>
          <w:sz w:val="24"/>
          <w:szCs w:val="24"/>
        </w:rPr>
        <w:t>）报文用于美元的跨境支付清算，承担了全球约</w:t>
      </w:r>
      <w:r w:rsidRPr="00173C3E">
        <w:rPr>
          <w:rFonts w:ascii="Times New Roman" w:eastAsia="宋体" w:hAnsi="Times New Roman" w:cs="Times New Roman"/>
          <w:sz w:val="24"/>
          <w:szCs w:val="24"/>
        </w:rPr>
        <w:t>95%</w:t>
      </w:r>
      <w:r w:rsidRPr="00173C3E">
        <w:rPr>
          <w:rFonts w:ascii="Times New Roman" w:eastAsia="宋体" w:hAnsi="Times New Roman" w:cs="Times New Roman"/>
          <w:sz w:val="24"/>
          <w:szCs w:val="24"/>
        </w:rPr>
        <w:t>的美元跨境支付。</w:t>
      </w:r>
      <w:r w:rsidRPr="00173C3E">
        <w:rPr>
          <w:rFonts w:ascii="Times New Roman" w:eastAsia="宋体" w:hAnsi="Times New Roman" w:cs="Times New Roman"/>
          <w:sz w:val="24"/>
          <w:szCs w:val="24"/>
        </w:rPr>
        <w:t>2024</w:t>
      </w:r>
      <w:r w:rsidR="0019426F" w:rsidRPr="00173C3E">
        <w:rPr>
          <w:rFonts w:ascii="Times New Roman" w:eastAsia="宋体" w:hAnsi="Times New Roman" w:cs="Times New Roman"/>
          <w:sz w:val="24"/>
          <w:szCs w:val="24"/>
        </w:rPr>
        <w:t>年</w:t>
      </w:r>
      <w:r w:rsidR="00B60666" w:rsidRPr="00173C3E">
        <w:rPr>
          <w:rFonts w:ascii="Times New Roman" w:eastAsia="宋体" w:hAnsi="Times New Roman" w:cs="Times New Roman"/>
          <w:sz w:val="24"/>
          <w:szCs w:val="24"/>
        </w:rPr>
        <w:t>一季度</w:t>
      </w:r>
      <w:r w:rsidRPr="00173C3E">
        <w:rPr>
          <w:rFonts w:ascii="Times New Roman" w:eastAsia="宋体" w:hAnsi="Times New Roman" w:cs="Times New Roman"/>
          <w:sz w:val="24"/>
          <w:szCs w:val="24"/>
        </w:rPr>
        <w:t>，</w:t>
      </w:r>
      <w:r w:rsidRPr="00173C3E">
        <w:rPr>
          <w:rFonts w:ascii="Times New Roman" w:eastAsia="宋体" w:hAnsi="Times New Roman" w:cs="Times New Roman"/>
          <w:sz w:val="24"/>
          <w:szCs w:val="24"/>
        </w:rPr>
        <w:t>CHIPS</w:t>
      </w:r>
      <w:r w:rsidRPr="00173C3E">
        <w:rPr>
          <w:rFonts w:ascii="Times New Roman" w:eastAsia="宋体" w:hAnsi="Times New Roman" w:cs="Times New Roman"/>
          <w:sz w:val="24"/>
          <w:szCs w:val="24"/>
        </w:rPr>
        <w:t>日均处理业务金额超过</w:t>
      </w:r>
      <w:r w:rsidRPr="00173C3E">
        <w:rPr>
          <w:rFonts w:ascii="Times New Roman" w:eastAsia="宋体" w:hAnsi="Times New Roman" w:cs="Times New Roman"/>
          <w:sz w:val="24"/>
          <w:szCs w:val="24"/>
        </w:rPr>
        <w:t>1.8</w:t>
      </w:r>
      <w:proofErr w:type="gramStart"/>
      <w:r w:rsidRPr="00173C3E">
        <w:rPr>
          <w:rFonts w:ascii="Times New Roman" w:eastAsia="宋体" w:hAnsi="Times New Roman" w:cs="Times New Roman"/>
          <w:sz w:val="24"/>
          <w:szCs w:val="24"/>
        </w:rPr>
        <w:t>万亿</w:t>
      </w:r>
      <w:proofErr w:type="gramEnd"/>
      <w:r w:rsidRPr="00173C3E">
        <w:rPr>
          <w:rFonts w:ascii="Times New Roman" w:eastAsia="宋体" w:hAnsi="Times New Roman" w:cs="Times New Roman"/>
          <w:sz w:val="24"/>
          <w:szCs w:val="24"/>
        </w:rPr>
        <w:t>美元。</w:t>
      </w:r>
      <w:r w:rsidRPr="00173C3E">
        <w:rPr>
          <w:rFonts w:ascii="Times New Roman" w:eastAsia="宋体" w:hAnsi="Times New Roman" w:cs="Times New Roman"/>
          <w:sz w:val="24"/>
          <w:szCs w:val="24"/>
        </w:rPr>
        <w:t>SWIFT</w:t>
      </w:r>
      <w:r w:rsidRPr="00173C3E">
        <w:rPr>
          <w:rFonts w:ascii="Times New Roman" w:eastAsia="宋体" w:hAnsi="Times New Roman" w:cs="Times New Roman"/>
          <w:sz w:val="24"/>
          <w:szCs w:val="24"/>
        </w:rPr>
        <w:t>作为全球银行间重要的通讯网络，通过提供标准化的信息交换格式使各国银行能够安全高效地进行跨境支付和结算，且</w:t>
      </w:r>
      <w:r w:rsidRPr="00173C3E">
        <w:rPr>
          <w:rFonts w:ascii="Times New Roman" w:eastAsia="宋体" w:hAnsi="Times New Roman" w:cs="Times New Roman"/>
          <w:sz w:val="24"/>
          <w:szCs w:val="24"/>
        </w:rPr>
        <w:t>SWIFT</w:t>
      </w:r>
      <w:r w:rsidRPr="00173C3E">
        <w:rPr>
          <w:rFonts w:ascii="Times New Roman" w:eastAsia="宋体" w:hAnsi="Times New Roman" w:cs="Times New Roman"/>
          <w:sz w:val="24"/>
          <w:szCs w:val="24"/>
        </w:rPr>
        <w:t>的核心数据模块主要位于美国。中国人民银行于</w:t>
      </w:r>
      <w:r w:rsidRPr="00173C3E">
        <w:rPr>
          <w:rFonts w:ascii="Times New Roman" w:eastAsia="宋体" w:hAnsi="Times New Roman" w:cs="Times New Roman"/>
          <w:sz w:val="24"/>
          <w:szCs w:val="24"/>
        </w:rPr>
        <w:t>2012</w:t>
      </w:r>
      <w:r w:rsidRPr="00173C3E">
        <w:rPr>
          <w:rFonts w:ascii="Times New Roman" w:eastAsia="宋体" w:hAnsi="Times New Roman" w:cs="Times New Roman"/>
          <w:sz w:val="24"/>
          <w:szCs w:val="24"/>
        </w:rPr>
        <w:t>年</w:t>
      </w:r>
      <w:r w:rsidRPr="00173C3E">
        <w:rPr>
          <w:rFonts w:ascii="Times New Roman" w:eastAsia="宋体" w:hAnsi="Times New Roman" w:cs="Times New Roman"/>
          <w:sz w:val="24"/>
          <w:szCs w:val="24"/>
        </w:rPr>
        <w:t>4</w:t>
      </w:r>
      <w:r w:rsidRPr="00173C3E">
        <w:rPr>
          <w:rFonts w:ascii="Times New Roman" w:eastAsia="宋体" w:hAnsi="Times New Roman" w:cs="Times New Roman"/>
          <w:sz w:val="24"/>
          <w:szCs w:val="24"/>
        </w:rPr>
        <w:t>月着手筹建</w:t>
      </w:r>
      <w:r w:rsidRPr="00173C3E">
        <w:rPr>
          <w:rFonts w:ascii="Times New Roman" w:eastAsia="宋体" w:hAnsi="Times New Roman" w:cs="Times New Roman"/>
          <w:sz w:val="24"/>
          <w:szCs w:val="24"/>
        </w:rPr>
        <w:t>CIPS</w:t>
      </w:r>
      <w:r w:rsidRPr="00173C3E">
        <w:rPr>
          <w:rFonts w:ascii="Times New Roman" w:eastAsia="宋体" w:hAnsi="Times New Roman" w:cs="Times New Roman"/>
          <w:sz w:val="24"/>
          <w:szCs w:val="24"/>
        </w:rPr>
        <w:t>系统，</w:t>
      </w:r>
      <w:r w:rsidRPr="00173C3E">
        <w:rPr>
          <w:rFonts w:ascii="Times New Roman" w:eastAsia="宋体" w:hAnsi="Times New Roman" w:cs="Times New Roman"/>
          <w:sz w:val="24"/>
          <w:szCs w:val="24"/>
        </w:rPr>
        <w:t>2015</w:t>
      </w:r>
      <w:r w:rsidRPr="00173C3E">
        <w:rPr>
          <w:rFonts w:ascii="Times New Roman" w:eastAsia="宋体" w:hAnsi="Times New Roman" w:cs="Times New Roman"/>
          <w:sz w:val="24"/>
          <w:szCs w:val="24"/>
        </w:rPr>
        <w:t>年</w:t>
      </w:r>
      <w:r w:rsidRPr="00173C3E">
        <w:rPr>
          <w:rFonts w:ascii="Times New Roman" w:eastAsia="宋体" w:hAnsi="Times New Roman" w:cs="Times New Roman"/>
          <w:sz w:val="24"/>
          <w:szCs w:val="24"/>
        </w:rPr>
        <w:t>10</w:t>
      </w:r>
      <w:r w:rsidRPr="00173C3E">
        <w:rPr>
          <w:rFonts w:ascii="Times New Roman" w:eastAsia="宋体" w:hAnsi="Times New Roman" w:cs="Times New Roman"/>
          <w:sz w:val="24"/>
          <w:szCs w:val="24"/>
        </w:rPr>
        <w:t>月</w:t>
      </w:r>
      <w:r w:rsidRPr="00173C3E">
        <w:rPr>
          <w:rFonts w:ascii="Times New Roman" w:eastAsia="宋体" w:hAnsi="Times New Roman" w:cs="Times New Roman"/>
          <w:sz w:val="24"/>
          <w:szCs w:val="24"/>
        </w:rPr>
        <w:t>CIPS</w:t>
      </w:r>
      <w:r w:rsidRPr="00173C3E">
        <w:rPr>
          <w:rFonts w:ascii="Times New Roman" w:eastAsia="宋体" w:hAnsi="Times New Roman" w:cs="Times New Roman"/>
          <w:sz w:val="24"/>
          <w:szCs w:val="24"/>
        </w:rPr>
        <w:t>系统正式启动，</w:t>
      </w:r>
      <w:r w:rsidRPr="00173C3E">
        <w:rPr>
          <w:rFonts w:ascii="Times New Roman" w:eastAsia="宋体" w:hAnsi="Times New Roman" w:cs="Times New Roman"/>
          <w:sz w:val="24"/>
          <w:szCs w:val="24"/>
        </w:rPr>
        <w:t>2018</w:t>
      </w:r>
      <w:r w:rsidRPr="00173C3E">
        <w:rPr>
          <w:rFonts w:ascii="Times New Roman" w:eastAsia="宋体" w:hAnsi="Times New Roman" w:cs="Times New Roman"/>
          <w:sz w:val="24"/>
          <w:szCs w:val="24"/>
        </w:rPr>
        <w:t>年</w:t>
      </w:r>
      <w:r w:rsidRPr="00173C3E">
        <w:rPr>
          <w:rFonts w:ascii="Times New Roman" w:eastAsia="宋体" w:hAnsi="Times New Roman" w:cs="Times New Roman"/>
          <w:sz w:val="24"/>
          <w:szCs w:val="24"/>
        </w:rPr>
        <w:t>3</w:t>
      </w:r>
      <w:r w:rsidRPr="00173C3E">
        <w:rPr>
          <w:rFonts w:ascii="Times New Roman" w:eastAsia="宋体" w:hAnsi="Times New Roman" w:cs="Times New Roman"/>
          <w:sz w:val="24"/>
          <w:szCs w:val="24"/>
        </w:rPr>
        <w:t>月</w:t>
      </w:r>
      <w:r w:rsidRPr="00173C3E">
        <w:rPr>
          <w:rFonts w:ascii="Times New Roman" w:eastAsia="宋体" w:hAnsi="Times New Roman" w:cs="Times New Roman"/>
          <w:sz w:val="24"/>
          <w:szCs w:val="24"/>
        </w:rPr>
        <w:t>CIPS</w:t>
      </w:r>
      <w:r w:rsidRPr="00173C3E">
        <w:rPr>
          <w:rFonts w:ascii="Times New Roman" w:eastAsia="宋体" w:hAnsi="Times New Roman" w:cs="Times New Roman"/>
          <w:sz w:val="24"/>
          <w:szCs w:val="24"/>
        </w:rPr>
        <w:t>系统（二期）开始试运行，对全球各时区金融市场实现全覆盖。</w:t>
      </w:r>
      <w:r w:rsidRPr="00173C3E">
        <w:rPr>
          <w:rFonts w:ascii="Times New Roman" w:eastAsia="宋体" w:hAnsi="Times New Roman" w:cs="Times New Roman"/>
          <w:sz w:val="24"/>
          <w:szCs w:val="24"/>
        </w:rPr>
        <w:t>2024</w:t>
      </w:r>
      <w:r w:rsidRPr="00173C3E">
        <w:rPr>
          <w:rFonts w:ascii="Times New Roman" w:eastAsia="宋体" w:hAnsi="Times New Roman" w:cs="Times New Roman"/>
          <w:sz w:val="24"/>
          <w:szCs w:val="24"/>
        </w:rPr>
        <w:t>年</w:t>
      </w:r>
      <w:r w:rsidR="00E215D5" w:rsidRPr="00E215D5">
        <w:rPr>
          <w:rFonts w:ascii="Times New Roman" w:eastAsia="宋体" w:hAnsi="Times New Roman" w:cs="Times New Roman" w:hint="eastAsia"/>
          <w:sz w:val="24"/>
          <w:szCs w:val="24"/>
        </w:rPr>
        <w:t>CIPS</w:t>
      </w:r>
      <w:r w:rsidR="00E215D5" w:rsidRPr="00E215D5">
        <w:rPr>
          <w:rFonts w:ascii="Times New Roman" w:eastAsia="宋体" w:hAnsi="Times New Roman" w:cs="Times New Roman" w:hint="eastAsia"/>
          <w:sz w:val="24"/>
          <w:szCs w:val="24"/>
        </w:rPr>
        <w:t>累计处理跨境人民币支付业务金额</w:t>
      </w:r>
      <w:r w:rsidR="00E215D5" w:rsidRPr="00E215D5">
        <w:rPr>
          <w:rFonts w:ascii="Times New Roman" w:eastAsia="宋体" w:hAnsi="Times New Roman" w:cs="Times New Roman" w:hint="eastAsia"/>
          <w:sz w:val="24"/>
          <w:szCs w:val="24"/>
        </w:rPr>
        <w:t>175</w:t>
      </w:r>
      <w:proofErr w:type="gramStart"/>
      <w:r w:rsidR="00E215D5" w:rsidRPr="00E215D5">
        <w:rPr>
          <w:rFonts w:ascii="Times New Roman" w:eastAsia="宋体" w:hAnsi="Times New Roman" w:cs="Times New Roman" w:hint="eastAsia"/>
          <w:sz w:val="24"/>
          <w:szCs w:val="24"/>
        </w:rPr>
        <w:t>万亿</w:t>
      </w:r>
      <w:proofErr w:type="gramEnd"/>
      <w:r w:rsidR="00E215D5" w:rsidRPr="00E215D5">
        <w:rPr>
          <w:rFonts w:ascii="Times New Roman" w:eastAsia="宋体" w:hAnsi="Times New Roman" w:cs="Times New Roman" w:hint="eastAsia"/>
          <w:sz w:val="24"/>
          <w:szCs w:val="24"/>
        </w:rPr>
        <w:t>元</w:t>
      </w:r>
      <w:r w:rsidR="00E215D5">
        <w:rPr>
          <w:rFonts w:ascii="Times New Roman" w:eastAsia="宋体" w:hAnsi="Times New Roman" w:cs="Times New Roman" w:hint="eastAsia"/>
          <w:sz w:val="24"/>
          <w:szCs w:val="24"/>
        </w:rPr>
        <w:t>，</w:t>
      </w:r>
      <w:r w:rsidRPr="00173C3E">
        <w:rPr>
          <w:rFonts w:ascii="Times New Roman" w:eastAsia="宋体" w:hAnsi="Times New Roman" w:cs="Times New Roman"/>
          <w:sz w:val="24"/>
          <w:szCs w:val="24"/>
        </w:rPr>
        <w:t>日均处理业务金额约为</w:t>
      </w:r>
      <w:r w:rsidR="00D809C9" w:rsidRPr="00173C3E">
        <w:rPr>
          <w:rFonts w:ascii="Times New Roman" w:eastAsia="宋体" w:hAnsi="Times New Roman" w:cs="Times New Roman"/>
          <w:sz w:val="24"/>
          <w:szCs w:val="24"/>
        </w:rPr>
        <w:t>7000</w:t>
      </w:r>
      <w:r w:rsidRPr="00173C3E">
        <w:rPr>
          <w:rFonts w:ascii="Times New Roman" w:eastAsia="宋体" w:hAnsi="Times New Roman" w:cs="Times New Roman"/>
          <w:sz w:val="24"/>
          <w:szCs w:val="24"/>
        </w:rPr>
        <w:t>亿元</w:t>
      </w:r>
      <w:r w:rsidR="00D809C9" w:rsidRPr="00173C3E">
        <w:rPr>
          <w:rStyle w:val="ab"/>
          <w:rFonts w:ascii="Times New Roman" w:eastAsia="宋体" w:hAnsi="Times New Roman" w:cs="Times New Roman"/>
          <w:sz w:val="24"/>
          <w:szCs w:val="24"/>
        </w:rPr>
        <w:footnoteReference w:id="8"/>
      </w:r>
      <w:r w:rsidR="005F3ABC">
        <w:rPr>
          <w:rFonts w:ascii="Times New Roman" w:eastAsia="宋体" w:hAnsi="Times New Roman" w:cs="Times New Roman" w:hint="eastAsia"/>
          <w:sz w:val="24"/>
          <w:szCs w:val="24"/>
        </w:rPr>
        <w:t>。</w:t>
      </w:r>
      <w:r w:rsidRPr="00173C3E">
        <w:rPr>
          <w:rFonts w:ascii="Times New Roman" w:eastAsia="宋体" w:hAnsi="Times New Roman" w:cs="Times New Roman"/>
          <w:sz w:val="24"/>
          <w:szCs w:val="24"/>
        </w:rPr>
        <w:t>从跨境支付清算系统的日均处理业务量来看，中国的</w:t>
      </w:r>
      <w:r w:rsidRPr="00173C3E">
        <w:rPr>
          <w:rFonts w:ascii="Times New Roman" w:eastAsia="宋体" w:hAnsi="Times New Roman" w:cs="Times New Roman"/>
          <w:sz w:val="24"/>
          <w:szCs w:val="24"/>
        </w:rPr>
        <w:t>CIPS</w:t>
      </w:r>
      <w:r w:rsidRPr="00173C3E">
        <w:rPr>
          <w:rFonts w:ascii="Times New Roman" w:eastAsia="宋体" w:hAnsi="Times New Roman" w:cs="Times New Roman"/>
          <w:sz w:val="24"/>
          <w:szCs w:val="24"/>
        </w:rPr>
        <w:t>与美国的</w:t>
      </w:r>
      <w:r w:rsidRPr="00173C3E">
        <w:rPr>
          <w:rFonts w:ascii="Times New Roman" w:eastAsia="宋体" w:hAnsi="Times New Roman" w:cs="Times New Roman"/>
          <w:sz w:val="24"/>
          <w:szCs w:val="24"/>
        </w:rPr>
        <w:t>CHIPS</w:t>
      </w:r>
      <w:r w:rsidRPr="00173C3E">
        <w:rPr>
          <w:rFonts w:ascii="Times New Roman" w:eastAsia="宋体" w:hAnsi="Times New Roman" w:cs="Times New Roman"/>
          <w:sz w:val="24"/>
          <w:szCs w:val="24"/>
        </w:rPr>
        <w:t>还存在较大差距。根据</w:t>
      </w:r>
      <w:r w:rsidRPr="00173C3E">
        <w:rPr>
          <w:rFonts w:ascii="Times New Roman" w:eastAsia="宋体" w:hAnsi="Times New Roman" w:cs="Times New Roman"/>
          <w:sz w:val="24"/>
          <w:szCs w:val="24"/>
        </w:rPr>
        <w:t>SWIFT</w:t>
      </w:r>
      <w:r w:rsidRPr="00173C3E">
        <w:rPr>
          <w:rFonts w:ascii="Times New Roman" w:eastAsia="宋体" w:hAnsi="Times New Roman" w:cs="Times New Roman"/>
          <w:sz w:val="24"/>
          <w:szCs w:val="24"/>
        </w:rPr>
        <w:t>公布的数据，截至</w:t>
      </w:r>
      <w:r w:rsidRPr="00173C3E">
        <w:rPr>
          <w:rFonts w:ascii="Times New Roman" w:eastAsia="宋体" w:hAnsi="Times New Roman" w:cs="Times New Roman"/>
          <w:sz w:val="24"/>
          <w:szCs w:val="24"/>
        </w:rPr>
        <w:t>2024</w:t>
      </w:r>
      <w:r w:rsidRPr="00173C3E">
        <w:rPr>
          <w:rFonts w:ascii="Times New Roman" w:eastAsia="宋体" w:hAnsi="Times New Roman" w:cs="Times New Roman"/>
          <w:sz w:val="24"/>
          <w:szCs w:val="24"/>
        </w:rPr>
        <w:t>年</w:t>
      </w:r>
      <w:r w:rsidRPr="00173C3E">
        <w:rPr>
          <w:rFonts w:ascii="Times New Roman" w:eastAsia="宋体" w:hAnsi="Times New Roman" w:cs="Times New Roman"/>
          <w:sz w:val="24"/>
          <w:szCs w:val="24"/>
        </w:rPr>
        <w:t>11</w:t>
      </w:r>
      <w:r w:rsidR="0035796A" w:rsidRPr="00173C3E">
        <w:rPr>
          <w:rFonts w:ascii="Times New Roman" w:eastAsia="宋体" w:hAnsi="Times New Roman" w:cs="Times New Roman"/>
          <w:sz w:val="24"/>
          <w:szCs w:val="24"/>
        </w:rPr>
        <w:t>月，美元在国际支付占比为</w:t>
      </w:r>
      <w:r w:rsidRPr="00173C3E">
        <w:rPr>
          <w:rFonts w:ascii="Times New Roman" w:eastAsia="宋体" w:hAnsi="Times New Roman" w:cs="Times New Roman"/>
          <w:sz w:val="24"/>
          <w:szCs w:val="24"/>
        </w:rPr>
        <w:t>47.68%</w:t>
      </w:r>
      <w:r w:rsidR="0035796A" w:rsidRPr="00173C3E">
        <w:rPr>
          <w:rFonts w:ascii="Times New Roman" w:eastAsia="宋体" w:hAnsi="Times New Roman" w:cs="Times New Roman"/>
          <w:sz w:val="24"/>
          <w:szCs w:val="24"/>
        </w:rPr>
        <w:t>，人民币作为全球第四大支付货币</w:t>
      </w:r>
      <w:r w:rsidRPr="00173C3E">
        <w:rPr>
          <w:rFonts w:ascii="Times New Roman" w:eastAsia="宋体" w:hAnsi="Times New Roman" w:cs="Times New Roman"/>
          <w:sz w:val="24"/>
          <w:szCs w:val="24"/>
        </w:rPr>
        <w:t>占比约</w:t>
      </w:r>
      <w:r w:rsidR="0035796A" w:rsidRPr="00173C3E">
        <w:rPr>
          <w:rFonts w:ascii="Times New Roman" w:eastAsia="宋体" w:hAnsi="Times New Roman" w:cs="Times New Roman"/>
          <w:sz w:val="24"/>
          <w:szCs w:val="24"/>
        </w:rPr>
        <w:t>为</w:t>
      </w:r>
      <w:r w:rsidRPr="00173C3E">
        <w:rPr>
          <w:rFonts w:ascii="Times New Roman" w:eastAsia="宋体" w:hAnsi="Times New Roman" w:cs="Times New Roman"/>
          <w:sz w:val="24"/>
          <w:szCs w:val="24"/>
        </w:rPr>
        <w:t>4%</w:t>
      </w:r>
      <w:r w:rsidRPr="00173C3E">
        <w:rPr>
          <w:rFonts w:ascii="Times New Roman" w:eastAsia="宋体" w:hAnsi="Times New Roman" w:cs="Times New Roman"/>
          <w:sz w:val="24"/>
          <w:szCs w:val="24"/>
        </w:rPr>
        <w:t>（详见图</w:t>
      </w:r>
      <w:r w:rsidR="0035796A" w:rsidRPr="00173C3E">
        <w:rPr>
          <w:rFonts w:ascii="Times New Roman" w:eastAsia="宋体" w:hAnsi="Times New Roman" w:cs="Times New Roman"/>
          <w:sz w:val="24"/>
          <w:szCs w:val="24"/>
        </w:rPr>
        <w:t>1</w:t>
      </w:r>
      <w:r w:rsidRPr="00173C3E">
        <w:rPr>
          <w:rFonts w:ascii="Times New Roman" w:eastAsia="宋体" w:hAnsi="Times New Roman" w:cs="Times New Roman"/>
          <w:sz w:val="24"/>
          <w:szCs w:val="24"/>
        </w:rPr>
        <w:t>），可见人民币在国际支付清算中的接受度和影响力还有很大的提升空间。</w:t>
      </w:r>
    </w:p>
    <w:p w14:paraId="27E0DCB2" w14:textId="77777777" w:rsidR="00DC321A" w:rsidRPr="00BE164C" w:rsidRDefault="00DC321A" w:rsidP="00AF0AF5">
      <w:pPr>
        <w:spacing w:line="360" w:lineRule="auto"/>
        <w:jc w:val="center"/>
        <w:rPr>
          <w:rFonts w:ascii="Times New Roman" w:hAnsi="Times New Roman" w:cs="Times New Roman"/>
        </w:rPr>
      </w:pPr>
      <w:r w:rsidRPr="00BE164C">
        <w:rPr>
          <w:rFonts w:ascii="Times New Roman" w:hAnsi="Times New Roman" w:cs="Times New Roman"/>
          <w:noProof/>
        </w:rPr>
        <w:drawing>
          <wp:inline distT="0" distB="0" distL="0" distR="0" wp14:anchorId="7B7DB83D" wp14:editId="2111E49D">
            <wp:extent cx="5123815" cy="2714017"/>
            <wp:effectExtent l="0" t="0" r="6985" b="16510"/>
            <wp:docPr id="8" name="图表 8">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86B612D-2E07-E64A-876E-5336C7FB79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87F73A0" w14:textId="77777777" w:rsidR="00DC321A" w:rsidRPr="00690D59" w:rsidRDefault="00DC321A" w:rsidP="00AF0AF5">
      <w:pPr>
        <w:spacing w:line="360" w:lineRule="auto"/>
        <w:jc w:val="center"/>
        <w:rPr>
          <w:rFonts w:ascii="Times New Roman" w:eastAsia="宋体" w:hAnsi="Times New Roman" w:cs="Times New Roman"/>
          <w:sz w:val="24"/>
          <w:szCs w:val="24"/>
        </w:rPr>
      </w:pPr>
      <w:r w:rsidRPr="00690D59">
        <w:rPr>
          <w:rFonts w:ascii="Times New Roman" w:eastAsia="宋体" w:hAnsi="Times New Roman" w:cs="Times New Roman"/>
          <w:sz w:val="24"/>
          <w:szCs w:val="24"/>
        </w:rPr>
        <w:t>图</w:t>
      </w:r>
      <w:r w:rsidRPr="00690D59">
        <w:rPr>
          <w:rFonts w:ascii="Times New Roman" w:eastAsia="宋体" w:hAnsi="Times New Roman" w:cs="Times New Roman"/>
          <w:sz w:val="24"/>
          <w:szCs w:val="24"/>
        </w:rPr>
        <w:t xml:space="preserve">1  </w:t>
      </w:r>
      <w:r w:rsidRPr="00690D59">
        <w:rPr>
          <w:rFonts w:ascii="Times New Roman" w:eastAsia="宋体" w:hAnsi="Times New Roman" w:cs="Times New Roman"/>
          <w:sz w:val="24"/>
          <w:szCs w:val="24"/>
        </w:rPr>
        <w:t>主要货币的国际支付市场份额</w:t>
      </w:r>
    </w:p>
    <w:p w14:paraId="4C83AE98" w14:textId="77777777" w:rsidR="00532AC9" w:rsidRPr="00D46513" w:rsidRDefault="00DC321A" w:rsidP="00AF0AF5">
      <w:pPr>
        <w:spacing w:line="360" w:lineRule="auto"/>
        <w:ind w:firstLineChars="200" w:firstLine="420"/>
        <w:rPr>
          <w:rFonts w:ascii="Times New Roman" w:eastAsia="宋体" w:hAnsi="Times New Roman" w:cs="Times New Roman"/>
          <w:szCs w:val="21"/>
        </w:rPr>
      </w:pPr>
      <w:r w:rsidRPr="00D46513">
        <w:rPr>
          <w:rFonts w:ascii="Times New Roman" w:eastAsia="宋体" w:hAnsi="Times New Roman" w:cs="Times New Roman"/>
          <w:szCs w:val="21"/>
        </w:rPr>
        <w:t>数据来源：</w:t>
      </w:r>
      <w:r w:rsidRPr="00D46513">
        <w:rPr>
          <w:rFonts w:ascii="Times New Roman" w:eastAsia="宋体" w:hAnsi="Times New Roman" w:cs="Times New Roman"/>
          <w:szCs w:val="21"/>
        </w:rPr>
        <w:t>Wind</w:t>
      </w:r>
      <w:r w:rsidRPr="00D46513">
        <w:rPr>
          <w:rFonts w:ascii="Times New Roman" w:eastAsia="宋体" w:hAnsi="Times New Roman" w:cs="Times New Roman"/>
          <w:szCs w:val="21"/>
        </w:rPr>
        <w:t>。</w:t>
      </w:r>
    </w:p>
    <w:p w14:paraId="72CDE597" w14:textId="7B71CB16" w:rsidR="00D6157C" w:rsidRPr="000478CB" w:rsidRDefault="00D6157C"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sidRPr="000478CB">
        <w:rPr>
          <w:rFonts w:ascii="Times New Roman" w:eastAsia="宋体" w:hAnsi="Times New Roman" w:cs="Times New Roman" w:hint="eastAsia"/>
          <w:sz w:val="24"/>
          <w:szCs w:val="24"/>
        </w:rPr>
        <w:lastRenderedPageBreak/>
        <w:t>经济金融信息主导权是</w:t>
      </w:r>
      <w:r w:rsidR="00225474" w:rsidRPr="000478CB">
        <w:rPr>
          <w:rFonts w:ascii="Times New Roman" w:eastAsia="宋体" w:hAnsi="Times New Roman" w:cs="Times New Roman" w:hint="eastAsia"/>
          <w:sz w:val="24"/>
          <w:szCs w:val="24"/>
        </w:rPr>
        <w:t>软件</w:t>
      </w:r>
      <w:r w:rsidRPr="000478CB">
        <w:rPr>
          <w:rFonts w:ascii="Times New Roman" w:eastAsia="宋体" w:hAnsi="Times New Roman" w:cs="Times New Roman" w:hint="eastAsia"/>
          <w:sz w:val="24"/>
          <w:szCs w:val="24"/>
        </w:rPr>
        <w:t>金融基础设施的</w:t>
      </w:r>
      <w:r w:rsidR="00225474" w:rsidRPr="000478CB">
        <w:rPr>
          <w:rFonts w:ascii="Times New Roman" w:eastAsia="宋体" w:hAnsi="Times New Roman" w:cs="Times New Roman" w:hint="eastAsia"/>
          <w:sz w:val="24"/>
          <w:szCs w:val="24"/>
        </w:rPr>
        <w:t>第一个</w:t>
      </w:r>
      <w:r w:rsidRPr="000478CB">
        <w:rPr>
          <w:rFonts w:ascii="Times New Roman" w:eastAsia="宋体" w:hAnsi="Times New Roman" w:cs="Times New Roman" w:hint="eastAsia"/>
          <w:sz w:val="24"/>
          <w:szCs w:val="24"/>
        </w:rPr>
        <w:t>体现。</w:t>
      </w:r>
      <w:r w:rsidR="0021169C" w:rsidRPr="000478CB">
        <w:rPr>
          <w:rFonts w:ascii="Times New Roman" w:eastAsia="宋体" w:hAnsi="Times New Roman" w:cs="Times New Roman" w:hint="eastAsia"/>
          <w:sz w:val="24"/>
          <w:szCs w:val="24"/>
        </w:rPr>
        <w:t>金融交易离不开信息，金融价格决定依赖于信息</w:t>
      </w:r>
      <w:r w:rsidR="00533122" w:rsidRPr="000478CB">
        <w:rPr>
          <w:rFonts w:ascii="Times New Roman" w:eastAsia="宋体" w:hAnsi="Times New Roman" w:cs="Times New Roman" w:hint="eastAsia"/>
          <w:sz w:val="24"/>
          <w:szCs w:val="24"/>
        </w:rPr>
        <w:t>，经济政策调整依托于信息</w:t>
      </w:r>
      <w:r w:rsidR="0021169C" w:rsidRPr="000478CB">
        <w:rPr>
          <w:rFonts w:ascii="Times New Roman" w:eastAsia="宋体" w:hAnsi="Times New Roman" w:cs="Times New Roman" w:hint="eastAsia"/>
          <w:sz w:val="24"/>
          <w:szCs w:val="24"/>
        </w:rPr>
        <w:t>。经济金融信息不仅影响金融机构和金融市场，而且影响宏观经济和货币金融政策的决策。</w:t>
      </w:r>
      <w:r w:rsidR="00406FCD" w:rsidRPr="000478CB">
        <w:rPr>
          <w:rFonts w:ascii="Times New Roman" w:eastAsia="宋体" w:hAnsi="Times New Roman" w:cs="Times New Roman" w:hint="eastAsia"/>
          <w:sz w:val="24"/>
          <w:szCs w:val="24"/>
        </w:rPr>
        <w:t>经济金融信息主导</w:t>
      </w:r>
      <w:proofErr w:type="gramStart"/>
      <w:r w:rsidR="00406FCD" w:rsidRPr="000478CB">
        <w:rPr>
          <w:rFonts w:ascii="Times New Roman" w:eastAsia="宋体" w:hAnsi="Times New Roman" w:cs="Times New Roman" w:hint="eastAsia"/>
          <w:sz w:val="24"/>
          <w:szCs w:val="24"/>
        </w:rPr>
        <w:t>权体现</w:t>
      </w:r>
      <w:proofErr w:type="gramEnd"/>
      <w:r w:rsidR="00406FCD" w:rsidRPr="000478CB">
        <w:rPr>
          <w:rFonts w:ascii="Times New Roman" w:eastAsia="宋体" w:hAnsi="Times New Roman" w:cs="Times New Roman" w:hint="eastAsia"/>
          <w:sz w:val="24"/>
          <w:szCs w:val="24"/>
        </w:rPr>
        <w:t>在三个方面</w:t>
      </w:r>
      <w:r w:rsidR="00A546CB">
        <w:rPr>
          <w:rFonts w:ascii="Times New Roman" w:eastAsia="宋体" w:hAnsi="Times New Roman" w:cs="Times New Roman" w:hint="eastAsia"/>
          <w:sz w:val="24"/>
          <w:szCs w:val="24"/>
        </w:rPr>
        <w:t>。</w:t>
      </w:r>
      <w:r w:rsidR="00406FCD" w:rsidRPr="000478CB">
        <w:rPr>
          <w:rFonts w:ascii="Times New Roman" w:eastAsia="宋体" w:hAnsi="Times New Roman" w:cs="Times New Roman" w:hint="eastAsia"/>
          <w:sz w:val="24"/>
          <w:szCs w:val="24"/>
        </w:rPr>
        <w:t>一是经济金融信息获取速度和</w:t>
      </w:r>
      <w:proofErr w:type="gramStart"/>
      <w:r w:rsidR="00406FCD" w:rsidRPr="000478CB">
        <w:rPr>
          <w:rFonts w:ascii="Times New Roman" w:eastAsia="宋体" w:hAnsi="Times New Roman" w:cs="Times New Roman" w:hint="eastAsia"/>
          <w:sz w:val="24"/>
          <w:szCs w:val="24"/>
        </w:rPr>
        <w:t>可</w:t>
      </w:r>
      <w:proofErr w:type="gramEnd"/>
      <w:r w:rsidR="00406FCD" w:rsidRPr="000478CB">
        <w:rPr>
          <w:rFonts w:ascii="Times New Roman" w:eastAsia="宋体" w:hAnsi="Times New Roman" w:cs="Times New Roman" w:hint="eastAsia"/>
          <w:sz w:val="24"/>
          <w:szCs w:val="24"/>
        </w:rPr>
        <w:t>信赖度，主要取决于信息源及信息的时、准、效。金融强国中的国际金融中心必然是一个信息中心。二是经济金融信息的存储、归集、统计和分析能力。金融强国必然具备强大的经济金融信息处置机构和能力。</w:t>
      </w:r>
      <w:r w:rsidR="00E215D5">
        <w:rPr>
          <w:rFonts w:ascii="Times New Roman" w:eastAsia="宋体" w:hAnsi="Times New Roman" w:cs="Times New Roman" w:hint="eastAsia"/>
          <w:sz w:val="24"/>
          <w:szCs w:val="24"/>
        </w:rPr>
        <w:t>而且，分布式架构和集中式架构对信息处理的模式存在实质差异</w:t>
      </w:r>
      <w:r w:rsidR="00B60666" w:rsidRPr="000478CB">
        <w:rPr>
          <w:rFonts w:ascii="Times New Roman" w:eastAsia="宋体" w:hAnsi="Times New Roman" w:cs="Times New Roman" w:hint="eastAsia"/>
          <w:sz w:val="24"/>
          <w:szCs w:val="24"/>
        </w:rPr>
        <w:t>。</w:t>
      </w:r>
      <w:r w:rsidR="00406FCD" w:rsidRPr="000478CB">
        <w:rPr>
          <w:rFonts w:ascii="Times New Roman" w:eastAsia="宋体" w:hAnsi="Times New Roman" w:cs="Times New Roman" w:hint="eastAsia"/>
          <w:sz w:val="24"/>
          <w:szCs w:val="24"/>
        </w:rPr>
        <w:t>三是经济金融信息的应用性。经济金融信息要广泛使用于金融机构经营、金融市场运行以及金融政策决策，这就要求经济金融信息具备广泛接受度。</w:t>
      </w:r>
      <w:r w:rsidR="00A546CB">
        <w:rPr>
          <w:rFonts w:ascii="Times New Roman" w:eastAsia="宋体" w:hAnsi="Times New Roman" w:cs="Times New Roman" w:hint="eastAsia"/>
          <w:sz w:val="24"/>
          <w:szCs w:val="24"/>
        </w:rPr>
        <w:t>例如</w:t>
      </w:r>
      <w:r w:rsidR="00123DCC" w:rsidRPr="000478CB">
        <w:rPr>
          <w:rFonts w:ascii="Times New Roman" w:eastAsia="宋体" w:hAnsi="Times New Roman" w:cs="Times New Roman" w:hint="eastAsia"/>
          <w:sz w:val="24"/>
          <w:szCs w:val="24"/>
        </w:rPr>
        <w:t>，彭博和</w:t>
      </w:r>
      <w:proofErr w:type="gramStart"/>
      <w:r w:rsidR="00123DCC" w:rsidRPr="000478CB">
        <w:rPr>
          <w:rFonts w:ascii="Times New Roman" w:eastAsia="宋体" w:hAnsi="Times New Roman" w:cs="Times New Roman" w:hint="eastAsia"/>
          <w:sz w:val="24"/>
          <w:szCs w:val="24"/>
        </w:rPr>
        <w:t>路孚特</w:t>
      </w:r>
      <w:proofErr w:type="gramEnd"/>
      <w:r w:rsidR="00123DCC" w:rsidRPr="00C122B6">
        <w:rPr>
          <w:rFonts w:ascii="Times New Roman" w:eastAsia="宋体" w:hAnsi="Times New Roman" w:cs="Times New Roman"/>
          <w:sz w:val="24"/>
          <w:szCs w:val="24"/>
          <w:vertAlign w:val="superscript"/>
        </w:rPr>
        <w:footnoteReference w:id="9"/>
      </w:r>
      <w:r w:rsidR="00123DCC" w:rsidRPr="000478CB">
        <w:rPr>
          <w:rFonts w:ascii="Times New Roman" w:eastAsia="宋体" w:hAnsi="Times New Roman" w:cs="Times New Roman" w:hint="eastAsia"/>
          <w:sz w:val="24"/>
          <w:szCs w:val="24"/>
        </w:rPr>
        <w:t>是全球最大的两家主导型金融信息服务商，拥有较强的市场接受度、控制力和影响力。</w:t>
      </w:r>
      <w:r w:rsidR="00406FCD" w:rsidRPr="000478CB">
        <w:rPr>
          <w:rFonts w:ascii="Times New Roman" w:eastAsia="宋体" w:hAnsi="Times New Roman" w:cs="Times New Roman" w:hint="eastAsia"/>
          <w:sz w:val="24"/>
          <w:szCs w:val="24"/>
        </w:rPr>
        <w:t>中国经济金融信息的供给、处理及应</w:t>
      </w:r>
      <w:r w:rsidR="00425B2E" w:rsidRPr="000478CB">
        <w:rPr>
          <w:rFonts w:ascii="Times New Roman" w:eastAsia="宋体" w:hAnsi="Times New Roman" w:cs="Times New Roman" w:hint="eastAsia"/>
          <w:sz w:val="24"/>
          <w:szCs w:val="24"/>
        </w:rPr>
        <w:t>用取得了</w:t>
      </w:r>
      <w:r w:rsidR="00E215D5">
        <w:rPr>
          <w:rFonts w:ascii="Times New Roman" w:eastAsia="宋体" w:hAnsi="Times New Roman" w:cs="Times New Roman" w:hint="eastAsia"/>
          <w:sz w:val="24"/>
          <w:szCs w:val="24"/>
        </w:rPr>
        <w:t>重大</w:t>
      </w:r>
      <w:r w:rsidR="00425B2E" w:rsidRPr="000478CB">
        <w:rPr>
          <w:rFonts w:ascii="Times New Roman" w:eastAsia="宋体" w:hAnsi="Times New Roman" w:cs="Times New Roman" w:hint="eastAsia"/>
          <w:sz w:val="24"/>
          <w:szCs w:val="24"/>
        </w:rPr>
        <w:t>成绩，并在国际市场体系中发挥了日益重要的作用，但</w:t>
      </w:r>
      <w:r w:rsidR="00406FCD" w:rsidRPr="000478CB">
        <w:rPr>
          <w:rFonts w:ascii="Times New Roman" w:eastAsia="宋体" w:hAnsi="Times New Roman" w:cs="Times New Roman" w:hint="eastAsia"/>
          <w:sz w:val="24"/>
          <w:szCs w:val="24"/>
        </w:rPr>
        <w:t>具有重大影响力的信息源、具有专业传播力的信息机构以及具有信息处置能力的专业机构等</w:t>
      </w:r>
      <w:r w:rsidR="00425B2E" w:rsidRPr="000478CB">
        <w:rPr>
          <w:rFonts w:ascii="Times New Roman" w:eastAsia="宋体" w:hAnsi="Times New Roman" w:cs="Times New Roman" w:hint="eastAsia"/>
          <w:sz w:val="24"/>
          <w:szCs w:val="24"/>
        </w:rPr>
        <w:t>相对匮乏</w:t>
      </w:r>
      <w:r w:rsidR="00406FCD" w:rsidRPr="000478CB">
        <w:rPr>
          <w:rFonts w:ascii="Times New Roman" w:eastAsia="宋体" w:hAnsi="Times New Roman" w:cs="Times New Roman" w:hint="eastAsia"/>
          <w:sz w:val="24"/>
          <w:szCs w:val="24"/>
        </w:rPr>
        <w:t>。</w:t>
      </w:r>
    </w:p>
    <w:p w14:paraId="5FEDD308" w14:textId="256F619B" w:rsidR="00D6157C" w:rsidRPr="000478CB" w:rsidRDefault="00D6157C"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sidRPr="000478CB">
        <w:rPr>
          <w:rFonts w:ascii="Times New Roman" w:eastAsia="宋体" w:hAnsi="Times New Roman" w:cs="Times New Roman" w:hint="eastAsia"/>
          <w:sz w:val="24"/>
          <w:szCs w:val="24"/>
        </w:rPr>
        <w:t>会计师事务所、律师事务所、评级机构及相关规则标准是</w:t>
      </w:r>
      <w:r w:rsidR="00225474" w:rsidRPr="000478CB">
        <w:rPr>
          <w:rFonts w:ascii="Times New Roman" w:eastAsia="宋体" w:hAnsi="Times New Roman" w:cs="Times New Roman" w:hint="eastAsia"/>
          <w:sz w:val="24"/>
          <w:szCs w:val="24"/>
        </w:rPr>
        <w:t>软件</w:t>
      </w:r>
      <w:r w:rsidRPr="000478CB">
        <w:rPr>
          <w:rFonts w:ascii="Times New Roman" w:eastAsia="宋体" w:hAnsi="Times New Roman" w:cs="Times New Roman" w:hint="eastAsia"/>
          <w:sz w:val="24"/>
          <w:szCs w:val="24"/>
        </w:rPr>
        <w:t>金融基础设施影响力的又一表现。</w:t>
      </w:r>
      <w:r w:rsidR="00E72EAC" w:rsidRPr="000478CB">
        <w:rPr>
          <w:rFonts w:ascii="Times New Roman" w:eastAsia="宋体" w:hAnsi="Times New Roman" w:cs="Times New Roman" w:hint="eastAsia"/>
          <w:sz w:val="24"/>
          <w:szCs w:val="24"/>
        </w:rPr>
        <w:t>金融部门是信用的经营主体，会计师事务所、律师事务所以及评级机构等发挥着信用</w:t>
      </w:r>
      <w:r w:rsidR="00E215D5">
        <w:rPr>
          <w:rFonts w:ascii="Times New Roman" w:eastAsia="宋体" w:hAnsi="Times New Roman" w:cs="Times New Roman" w:hint="eastAsia"/>
          <w:sz w:val="24"/>
          <w:szCs w:val="24"/>
        </w:rPr>
        <w:t>风险</w:t>
      </w:r>
      <w:r w:rsidR="00E72EAC" w:rsidRPr="000478CB">
        <w:rPr>
          <w:rFonts w:ascii="Times New Roman" w:eastAsia="宋体" w:hAnsi="Times New Roman" w:cs="Times New Roman" w:hint="eastAsia"/>
          <w:sz w:val="24"/>
          <w:szCs w:val="24"/>
        </w:rPr>
        <w:t>甄别的功能，能有效缓释信息不对称</w:t>
      </w:r>
      <w:r w:rsidR="00E215D5">
        <w:rPr>
          <w:rFonts w:ascii="Times New Roman" w:eastAsia="宋体" w:hAnsi="Times New Roman" w:cs="Times New Roman" w:hint="eastAsia"/>
          <w:sz w:val="24"/>
          <w:szCs w:val="24"/>
        </w:rPr>
        <w:t>问题</w:t>
      </w:r>
      <w:r w:rsidR="0021169C" w:rsidRPr="000478CB">
        <w:rPr>
          <w:rFonts w:ascii="Times New Roman" w:eastAsia="宋体" w:hAnsi="Times New Roman" w:cs="Times New Roman" w:hint="eastAsia"/>
          <w:sz w:val="24"/>
          <w:szCs w:val="24"/>
        </w:rPr>
        <w:t>，也是提供综合性金融服务的必要支撑</w:t>
      </w:r>
      <w:r w:rsidR="00E72EAC" w:rsidRPr="000478CB">
        <w:rPr>
          <w:rFonts w:ascii="Times New Roman" w:eastAsia="宋体" w:hAnsi="Times New Roman" w:cs="Times New Roman" w:hint="eastAsia"/>
          <w:sz w:val="24"/>
          <w:szCs w:val="24"/>
        </w:rPr>
        <w:t>。此类金融服务中介机构及其</w:t>
      </w:r>
      <w:r w:rsidR="00E215D5">
        <w:rPr>
          <w:rFonts w:ascii="Times New Roman" w:eastAsia="宋体" w:hAnsi="Times New Roman" w:cs="Times New Roman" w:hint="eastAsia"/>
          <w:sz w:val="24"/>
          <w:szCs w:val="24"/>
        </w:rPr>
        <w:t>制度</w:t>
      </w:r>
      <w:r w:rsidR="00E72EAC" w:rsidRPr="000478CB">
        <w:rPr>
          <w:rFonts w:ascii="Times New Roman" w:eastAsia="宋体" w:hAnsi="Times New Roman" w:cs="Times New Roman" w:hint="eastAsia"/>
          <w:sz w:val="24"/>
          <w:szCs w:val="24"/>
        </w:rPr>
        <w:t>标准体现</w:t>
      </w:r>
      <w:r w:rsidR="00A32040" w:rsidRPr="000478CB">
        <w:rPr>
          <w:rFonts w:ascii="Times New Roman" w:eastAsia="宋体" w:hAnsi="Times New Roman" w:cs="Times New Roman" w:hint="eastAsia"/>
          <w:sz w:val="24"/>
          <w:szCs w:val="24"/>
        </w:rPr>
        <w:t>着</w:t>
      </w:r>
      <w:r w:rsidR="00E72EAC" w:rsidRPr="000478CB">
        <w:rPr>
          <w:rFonts w:ascii="Times New Roman" w:eastAsia="宋体" w:hAnsi="Times New Roman" w:cs="Times New Roman" w:hint="eastAsia"/>
          <w:sz w:val="24"/>
          <w:szCs w:val="24"/>
        </w:rPr>
        <w:t>金融规则权力</w:t>
      </w:r>
      <w:r w:rsidR="00E215D5">
        <w:rPr>
          <w:rFonts w:ascii="Times New Roman" w:eastAsia="宋体" w:hAnsi="Times New Roman" w:cs="Times New Roman" w:hint="eastAsia"/>
          <w:sz w:val="24"/>
          <w:szCs w:val="24"/>
        </w:rPr>
        <w:t>，同时对金融风险和金融稳定具有重要影响</w:t>
      </w:r>
      <w:r w:rsidR="00E72EAC" w:rsidRPr="000478CB">
        <w:rPr>
          <w:rFonts w:ascii="Times New Roman" w:eastAsia="宋体" w:hAnsi="Times New Roman" w:cs="Times New Roman" w:hint="eastAsia"/>
          <w:sz w:val="24"/>
          <w:szCs w:val="24"/>
        </w:rPr>
        <w:t>。</w:t>
      </w:r>
      <w:r w:rsidR="00AF22C0" w:rsidRPr="000478CB">
        <w:rPr>
          <w:rFonts w:ascii="Times New Roman" w:eastAsia="宋体" w:hAnsi="Times New Roman" w:cs="Times New Roman" w:hint="eastAsia"/>
          <w:sz w:val="24"/>
          <w:szCs w:val="24"/>
        </w:rPr>
        <w:t>以会计准则为例，同一种金融资产放置于可供出售金融资产账户和持有至到期账户</w:t>
      </w:r>
      <w:r w:rsidR="00B60666" w:rsidRPr="000478CB">
        <w:rPr>
          <w:rFonts w:ascii="Times New Roman" w:eastAsia="宋体" w:hAnsi="Times New Roman" w:cs="Times New Roman" w:hint="eastAsia"/>
          <w:sz w:val="24"/>
          <w:szCs w:val="24"/>
        </w:rPr>
        <w:t>并适用不同的资产计量准则，前者采用市值法，后者采用</w:t>
      </w:r>
      <w:r w:rsidR="00AF22C0" w:rsidRPr="000478CB">
        <w:rPr>
          <w:rFonts w:ascii="Times New Roman" w:eastAsia="宋体" w:hAnsi="Times New Roman" w:cs="Times New Roman" w:hint="eastAsia"/>
          <w:sz w:val="24"/>
          <w:szCs w:val="24"/>
        </w:rPr>
        <w:t>成本法，而这直</w:t>
      </w:r>
      <w:r w:rsidR="00B60666" w:rsidRPr="000478CB">
        <w:rPr>
          <w:rFonts w:ascii="Times New Roman" w:eastAsia="宋体" w:hAnsi="Times New Roman" w:cs="Times New Roman" w:hint="eastAsia"/>
          <w:sz w:val="24"/>
          <w:szCs w:val="24"/>
        </w:rPr>
        <w:t>接导致资产价值计量结果的差异以及资本充足率的差异。评级机构在</w:t>
      </w:r>
      <w:r w:rsidR="00AF22C0" w:rsidRPr="000478CB">
        <w:rPr>
          <w:rFonts w:ascii="Times New Roman" w:eastAsia="宋体" w:hAnsi="Times New Roman" w:cs="Times New Roman" w:hint="eastAsia"/>
          <w:sz w:val="24"/>
          <w:szCs w:val="24"/>
        </w:rPr>
        <w:t>主权信用评级</w:t>
      </w:r>
      <w:r w:rsidR="00B60666" w:rsidRPr="000478CB">
        <w:rPr>
          <w:rFonts w:ascii="Times New Roman" w:eastAsia="宋体" w:hAnsi="Times New Roman" w:cs="Times New Roman" w:hint="eastAsia"/>
          <w:sz w:val="24"/>
          <w:szCs w:val="24"/>
        </w:rPr>
        <w:t>中</w:t>
      </w:r>
      <w:r w:rsidR="00AF22C0" w:rsidRPr="000478CB">
        <w:rPr>
          <w:rFonts w:ascii="Times New Roman" w:eastAsia="宋体" w:hAnsi="Times New Roman" w:cs="Times New Roman" w:hint="eastAsia"/>
          <w:sz w:val="24"/>
          <w:szCs w:val="24"/>
        </w:rPr>
        <w:t>发挥着</w:t>
      </w:r>
      <w:r w:rsidR="00E215D5">
        <w:rPr>
          <w:rFonts w:ascii="Times New Roman" w:eastAsia="宋体" w:hAnsi="Times New Roman" w:cs="Times New Roman" w:hint="eastAsia"/>
          <w:sz w:val="24"/>
          <w:szCs w:val="24"/>
        </w:rPr>
        <w:t>基础</w:t>
      </w:r>
      <w:r w:rsidR="00AF22C0" w:rsidRPr="000478CB">
        <w:rPr>
          <w:rFonts w:ascii="Times New Roman" w:eastAsia="宋体" w:hAnsi="Times New Roman" w:cs="Times New Roman" w:hint="eastAsia"/>
          <w:sz w:val="24"/>
          <w:szCs w:val="24"/>
        </w:rPr>
        <w:t>作用，即便国际社会各种力量对评级机构功能及其评级标准分歧巨大，但是，</w:t>
      </w:r>
      <w:r w:rsidR="00B60666" w:rsidRPr="000478CB">
        <w:rPr>
          <w:rFonts w:ascii="Times New Roman" w:eastAsia="宋体" w:hAnsi="Times New Roman" w:cs="Times New Roman" w:hint="eastAsia"/>
          <w:sz w:val="24"/>
          <w:szCs w:val="24"/>
        </w:rPr>
        <w:t>评级机构</w:t>
      </w:r>
      <w:r w:rsidR="00AF22C0" w:rsidRPr="000478CB">
        <w:rPr>
          <w:rFonts w:ascii="Times New Roman" w:eastAsia="宋体" w:hAnsi="Times New Roman" w:cs="Times New Roman" w:hint="eastAsia"/>
          <w:sz w:val="24"/>
          <w:szCs w:val="24"/>
        </w:rPr>
        <w:t>仍然发挥着主权信用及信用利差的定价功能。</w:t>
      </w:r>
      <w:r w:rsidR="00043BAE" w:rsidRPr="000478CB">
        <w:rPr>
          <w:rFonts w:ascii="Times New Roman" w:eastAsia="宋体" w:hAnsi="Times New Roman" w:cs="Times New Roman" w:hint="eastAsia"/>
          <w:sz w:val="24"/>
          <w:szCs w:val="24"/>
        </w:rPr>
        <w:t>如果说金融机构和金融市场是金融价格制定的直接决定者，</w:t>
      </w:r>
      <w:proofErr w:type="gramStart"/>
      <w:r w:rsidR="00043BAE" w:rsidRPr="000478CB">
        <w:rPr>
          <w:rFonts w:ascii="Times New Roman" w:eastAsia="宋体" w:hAnsi="Times New Roman" w:cs="Times New Roman" w:hint="eastAsia"/>
          <w:sz w:val="24"/>
          <w:szCs w:val="24"/>
        </w:rPr>
        <w:t>那</w:t>
      </w:r>
      <w:r w:rsidR="00C81488" w:rsidRPr="000478CB">
        <w:rPr>
          <w:rFonts w:ascii="Times New Roman" w:eastAsia="宋体" w:hAnsi="Times New Roman" w:cs="Times New Roman" w:hint="eastAsia"/>
          <w:sz w:val="24"/>
          <w:szCs w:val="24"/>
        </w:rPr>
        <w:t>金融</w:t>
      </w:r>
      <w:proofErr w:type="gramEnd"/>
      <w:r w:rsidR="00C81488" w:rsidRPr="000478CB">
        <w:rPr>
          <w:rFonts w:ascii="Times New Roman" w:eastAsia="宋体" w:hAnsi="Times New Roman" w:cs="Times New Roman" w:hint="eastAsia"/>
          <w:sz w:val="24"/>
          <w:szCs w:val="24"/>
        </w:rPr>
        <w:t>服务中介机构及其规则标准就是金融价格制定的隐性影响人</w:t>
      </w:r>
      <w:r w:rsidR="00D83814" w:rsidRPr="000478CB">
        <w:rPr>
          <w:rFonts w:ascii="Times New Roman" w:eastAsia="宋体" w:hAnsi="Times New Roman" w:cs="Times New Roman" w:hint="eastAsia"/>
          <w:sz w:val="24"/>
          <w:szCs w:val="24"/>
        </w:rPr>
        <w:t>，或</w:t>
      </w:r>
      <w:r w:rsidR="00EA2138" w:rsidRPr="000478CB">
        <w:rPr>
          <w:rFonts w:ascii="Times New Roman" w:eastAsia="宋体" w:hAnsi="Times New Roman" w:cs="Times New Roman" w:hint="eastAsia"/>
          <w:sz w:val="24"/>
          <w:szCs w:val="24"/>
        </w:rPr>
        <w:t>拥有</w:t>
      </w:r>
      <w:r w:rsidR="00D83814" w:rsidRPr="000478CB">
        <w:rPr>
          <w:rFonts w:ascii="Times New Roman" w:eastAsia="宋体" w:hAnsi="Times New Roman" w:cs="Times New Roman" w:hint="eastAsia"/>
          <w:sz w:val="24"/>
          <w:szCs w:val="24"/>
        </w:rPr>
        <w:t>隐性特权</w:t>
      </w:r>
      <w:r w:rsidR="00C81488" w:rsidRPr="000478CB">
        <w:rPr>
          <w:rFonts w:ascii="Times New Roman" w:eastAsia="宋体" w:hAnsi="Times New Roman" w:cs="Times New Roman" w:hint="eastAsia"/>
          <w:sz w:val="24"/>
          <w:szCs w:val="24"/>
        </w:rPr>
        <w:t>。</w:t>
      </w:r>
      <w:r w:rsidR="00636A6D" w:rsidRPr="000478CB">
        <w:rPr>
          <w:rFonts w:ascii="Times New Roman" w:eastAsia="宋体" w:hAnsi="Times New Roman" w:cs="Times New Roman" w:hint="eastAsia"/>
          <w:sz w:val="24"/>
          <w:szCs w:val="24"/>
        </w:rPr>
        <w:t>当前，标准普尔、穆迪和惠誉是全球领先的评级机构，在</w:t>
      </w:r>
      <w:r w:rsidR="00E215D5">
        <w:rPr>
          <w:rFonts w:ascii="Times New Roman" w:eastAsia="宋体" w:hAnsi="Times New Roman" w:cs="Times New Roman" w:hint="eastAsia"/>
          <w:sz w:val="24"/>
          <w:szCs w:val="24"/>
        </w:rPr>
        <w:t>全球的</w:t>
      </w:r>
      <w:r w:rsidR="00636A6D" w:rsidRPr="000478CB">
        <w:rPr>
          <w:rFonts w:ascii="Times New Roman" w:eastAsia="宋体" w:hAnsi="Times New Roman" w:cs="Times New Roman" w:hint="eastAsia"/>
          <w:sz w:val="24"/>
          <w:szCs w:val="24"/>
        </w:rPr>
        <w:t>主权信用、公司信用及债券评级中发挥着主导作用</w:t>
      </w:r>
      <w:r w:rsidR="00E215D5">
        <w:rPr>
          <w:rFonts w:ascii="Times New Roman" w:eastAsia="宋体" w:hAnsi="Times New Roman" w:cs="Times New Roman" w:hint="eastAsia"/>
          <w:sz w:val="24"/>
          <w:szCs w:val="24"/>
        </w:rPr>
        <w:t>，而</w:t>
      </w:r>
      <w:r w:rsidR="00636A6D" w:rsidRPr="000478CB">
        <w:rPr>
          <w:rFonts w:ascii="Times New Roman" w:eastAsia="宋体" w:hAnsi="Times New Roman" w:cs="Times New Roman" w:hint="eastAsia"/>
          <w:sz w:val="24"/>
          <w:szCs w:val="24"/>
        </w:rPr>
        <w:t>开展</w:t>
      </w:r>
      <w:r w:rsidR="00E215D5">
        <w:rPr>
          <w:rFonts w:ascii="Times New Roman" w:eastAsia="宋体" w:hAnsi="Times New Roman" w:cs="Times New Roman" w:hint="eastAsia"/>
          <w:sz w:val="24"/>
          <w:szCs w:val="24"/>
        </w:rPr>
        <w:t>具有重要影响力的国际</w:t>
      </w:r>
      <w:r w:rsidR="00636A6D" w:rsidRPr="000478CB">
        <w:rPr>
          <w:rFonts w:ascii="Times New Roman" w:eastAsia="宋体" w:hAnsi="Times New Roman" w:cs="Times New Roman" w:hint="eastAsia"/>
          <w:sz w:val="24"/>
          <w:szCs w:val="24"/>
        </w:rPr>
        <w:t>评级业务</w:t>
      </w:r>
      <w:r w:rsidR="00E215D5">
        <w:rPr>
          <w:rFonts w:ascii="Times New Roman" w:eastAsia="宋体" w:hAnsi="Times New Roman" w:cs="Times New Roman" w:hint="eastAsia"/>
          <w:sz w:val="24"/>
          <w:szCs w:val="24"/>
        </w:rPr>
        <w:t>的中国机构偏少</w:t>
      </w:r>
      <w:r w:rsidR="00636A6D" w:rsidRPr="000478CB">
        <w:rPr>
          <w:rFonts w:ascii="Times New Roman" w:eastAsia="宋体" w:hAnsi="Times New Roman" w:cs="Times New Roman" w:hint="eastAsia"/>
          <w:sz w:val="24"/>
          <w:szCs w:val="24"/>
        </w:rPr>
        <w:t>。</w:t>
      </w:r>
      <w:r w:rsidR="00D83814" w:rsidRPr="000478CB">
        <w:rPr>
          <w:rFonts w:ascii="Times New Roman" w:eastAsia="宋体" w:hAnsi="Times New Roman" w:cs="Times New Roman" w:hint="eastAsia"/>
          <w:sz w:val="24"/>
          <w:szCs w:val="24"/>
        </w:rPr>
        <w:t>普华永道、德勤、毕马威和安永是全球四大会计师事务所，在全球市场份额超过</w:t>
      </w:r>
      <w:r w:rsidR="00D83814" w:rsidRPr="000478CB">
        <w:rPr>
          <w:rFonts w:ascii="Times New Roman" w:eastAsia="宋体" w:hAnsi="Times New Roman" w:cs="Times New Roman" w:hint="eastAsia"/>
          <w:sz w:val="24"/>
          <w:szCs w:val="24"/>
        </w:rPr>
        <w:t>80%</w:t>
      </w:r>
      <w:r w:rsidR="00D83814" w:rsidRPr="000478CB">
        <w:rPr>
          <w:rFonts w:ascii="Times New Roman" w:eastAsia="宋体" w:hAnsi="Times New Roman" w:cs="Times New Roman" w:hint="eastAsia"/>
          <w:sz w:val="24"/>
          <w:szCs w:val="24"/>
        </w:rPr>
        <w:t>，国内会计师事务所成长很快且逐步</w:t>
      </w:r>
      <w:r w:rsidR="00D83814" w:rsidRPr="000478CB">
        <w:rPr>
          <w:rFonts w:ascii="Times New Roman" w:eastAsia="宋体" w:hAnsi="Times New Roman" w:cs="Times New Roman" w:hint="eastAsia"/>
          <w:sz w:val="24"/>
          <w:szCs w:val="24"/>
        </w:rPr>
        <w:lastRenderedPageBreak/>
        <w:t>开展国际业务，但国际业务规模和全球占比仍然非常有限。</w:t>
      </w:r>
    </w:p>
    <w:p w14:paraId="41C5B971" w14:textId="1AF39A4A" w:rsidR="008779AA" w:rsidRPr="000478CB" w:rsidRDefault="00D6157C"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sidRPr="000478CB">
        <w:rPr>
          <w:rFonts w:ascii="Times New Roman" w:eastAsia="宋体" w:hAnsi="Times New Roman" w:cs="Times New Roman" w:hint="eastAsia"/>
          <w:sz w:val="24"/>
          <w:szCs w:val="24"/>
        </w:rPr>
        <w:t>国际金融组织及其</w:t>
      </w:r>
      <w:r w:rsidR="000279AC" w:rsidRPr="000478CB">
        <w:rPr>
          <w:rFonts w:ascii="Times New Roman" w:eastAsia="宋体" w:hAnsi="Times New Roman" w:cs="Times New Roman" w:hint="eastAsia"/>
          <w:sz w:val="24"/>
          <w:szCs w:val="24"/>
        </w:rPr>
        <w:t>治理</w:t>
      </w:r>
      <w:r w:rsidRPr="000478CB">
        <w:rPr>
          <w:rFonts w:ascii="Times New Roman" w:eastAsia="宋体" w:hAnsi="Times New Roman" w:cs="Times New Roman" w:hint="eastAsia"/>
          <w:sz w:val="24"/>
          <w:szCs w:val="24"/>
        </w:rPr>
        <w:t>制度安排是软性金融基础设施的</w:t>
      </w:r>
      <w:r w:rsidR="00225474" w:rsidRPr="000478CB">
        <w:rPr>
          <w:rFonts w:ascii="Times New Roman" w:eastAsia="宋体" w:hAnsi="Times New Roman" w:cs="Times New Roman" w:hint="eastAsia"/>
          <w:sz w:val="24"/>
          <w:szCs w:val="24"/>
        </w:rPr>
        <w:t>第三个</w:t>
      </w:r>
      <w:r w:rsidRPr="000478CB">
        <w:rPr>
          <w:rFonts w:ascii="Times New Roman" w:eastAsia="宋体" w:hAnsi="Times New Roman" w:cs="Times New Roman" w:hint="eastAsia"/>
          <w:sz w:val="24"/>
          <w:szCs w:val="24"/>
        </w:rPr>
        <w:t>典型代表。</w:t>
      </w:r>
      <w:r w:rsidR="00B506CC" w:rsidRPr="000478CB">
        <w:rPr>
          <w:rFonts w:ascii="Times New Roman" w:eastAsia="宋体" w:hAnsi="Times New Roman" w:cs="Times New Roman"/>
          <w:sz w:val="24"/>
          <w:szCs w:val="24"/>
        </w:rPr>
        <w:t>在一定程度上，国际金融治理话语权</w:t>
      </w:r>
      <w:r w:rsidR="00B506CC" w:rsidRPr="000478CB">
        <w:rPr>
          <w:rFonts w:ascii="Times New Roman" w:eastAsia="宋体" w:hAnsi="Times New Roman" w:cs="Times New Roman" w:hint="eastAsia"/>
          <w:sz w:val="24"/>
          <w:szCs w:val="24"/>
        </w:rPr>
        <w:t>及其相关的金融基础设施</w:t>
      </w:r>
      <w:r w:rsidR="00B506CC" w:rsidRPr="000478CB">
        <w:rPr>
          <w:rFonts w:ascii="Times New Roman" w:eastAsia="宋体" w:hAnsi="Times New Roman" w:cs="Times New Roman"/>
          <w:sz w:val="24"/>
          <w:szCs w:val="24"/>
        </w:rPr>
        <w:t>可视为金融强国的黏性权利，即吸引其他国家向其靠拢、集聚并最终形成依赖金融强国的利益格局（</w:t>
      </w:r>
      <w:r w:rsidR="00B506CC" w:rsidRPr="000478CB">
        <w:rPr>
          <w:rFonts w:ascii="Times New Roman" w:eastAsia="宋体" w:hAnsi="Times New Roman" w:cs="Times New Roman"/>
          <w:sz w:val="24"/>
          <w:szCs w:val="24"/>
        </w:rPr>
        <w:t>Mead</w:t>
      </w:r>
      <w:r w:rsidR="00B506CC" w:rsidRPr="000478CB">
        <w:rPr>
          <w:rFonts w:ascii="Times New Roman" w:eastAsia="宋体" w:hAnsi="Times New Roman" w:cs="Times New Roman"/>
          <w:sz w:val="24"/>
          <w:szCs w:val="24"/>
        </w:rPr>
        <w:t>，</w:t>
      </w:r>
      <w:r w:rsidR="00B506CC" w:rsidRPr="000478CB">
        <w:rPr>
          <w:rFonts w:ascii="Times New Roman" w:eastAsia="宋体" w:hAnsi="Times New Roman" w:cs="Times New Roman"/>
          <w:sz w:val="24"/>
          <w:szCs w:val="24"/>
        </w:rPr>
        <w:t>2004</w:t>
      </w:r>
      <w:r w:rsidR="00B506CC" w:rsidRPr="000478CB">
        <w:rPr>
          <w:rFonts w:ascii="Times New Roman" w:eastAsia="宋体" w:hAnsi="Times New Roman" w:cs="Times New Roman"/>
          <w:sz w:val="24"/>
          <w:szCs w:val="24"/>
        </w:rPr>
        <w:t>）</w:t>
      </w:r>
      <w:r w:rsidR="0024696F">
        <w:rPr>
          <w:rFonts w:ascii="Times New Roman" w:eastAsia="宋体" w:hAnsi="Times New Roman" w:cs="Times New Roman" w:hint="eastAsia"/>
          <w:sz w:val="24"/>
          <w:szCs w:val="24"/>
        </w:rPr>
        <w:t>。</w:t>
      </w:r>
      <w:r w:rsidRPr="000478CB">
        <w:rPr>
          <w:rFonts w:ascii="Times New Roman" w:eastAsia="宋体" w:hAnsi="Times New Roman" w:cs="Times New Roman" w:hint="eastAsia"/>
          <w:sz w:val="24"/>
          <w:szCs w:val="24"/>
        </w:rPr>
        <w:t>发轫于布雷顿森林体系的国际货币基金组织、世界银行等机构在国际金融治理中发挥了规则制定权等重要作用，对于全球国际收支失衡、汇率制度、发展融资等具有实</w:t>
      </w:r>
      <w:r w:rsidR="00E215D5">
        <w:rPr>
          <w:rFonts w:ascii="Times New Roman" w:eastAsia="宋体" w:hAnsi="Times New Roman" w:cs="Times New Roman" w:hint="eastAsia"/>
          <w:sz w:val="24"/>
          <w:szCs w:val="24"/>
        </w:rPr>
        <w:t>质性影响。国际清算银行下属巴塞尔银行业监督委员会是全球银行业</w:t>
      </w:r>
      <w:r w:rsidRPr="000478CB">
        <w:rPr>
          <w:rFonts w:ascii="Times New Roman" w:eastAsia="宋体" w:hAnsi="Times New Roman" w:cs="Times New Roman" w:hint="eastAsia"/>
          <w:sz w:val="24"/>
          <w:szCs w:val="24"/>
        </w:rPr>
        <w:t>监管标准最有</w:t>
      </w:r>
      <w:r w:rsidR="00E215D5">
        <w:rPr>
          <w:rFonts w:ascii="Times New Roman" w:eastAsia="宋体" w:hAnsi="Times New Roman" w:cs="Times New Roman" w:hint="eastAsia"/>
          <w:sz w:val="24"/>
          <w:szCs w:val="24"/>
        </w:rPr>
        <w:t>权威性</w:t>
      </w:r>
      <w:r w:rsidRPr="000478CB">
        <w:rPr>
          <w:rFonts w:ascii="Times New Roman" w:eastAsia="宋体" w:hAnsi="Times New Roman" w:cs="Times New Roman" w:hint="eastAsia"/>
          <w:sz w:val="24"/>
          <w:szCs w:val="24"/>
        </w:rPr>
        <w:t>的制定者。</w:t>
      </w:r>
      <w:r w:rsidRPr="000478CB">
        <w:rPr>
          <w:rFonts w:ascii="Times New Roman" w:eastAsia="宋体" w:hAnsi="Times New Roman" w:cs="Times New Roman" w:hint="eastAsia"/>
          <w:sz w:val="24"/>
          <w:szCs w:val="24"/>
        </w:rPr>
        <w:t>2007</w:t>
      </w:r>
      <w:r w:rsidR="006D0B43">
        <w:rPr>
          <w:rFonts w:ascii="Times New Roman" w:eastAsia="宋体" w:hAnsi="Times New Roman" w:cs="Times New Roman" w:hint="eastAsia"/>
          <w:sz w:val="24"/>
          <w:szCs w:val="24"/>
        </w:rPr>
        <w:t>~</w:t>
      </w:r>
      <w:r w:rsidRPr="000478CB">
        <w:rPr>
          <w:rFonts w:ascii="Times New Roman" w:eastAsia="宋体" w:hAnsi="Times New Roman" w:cs="Times New Roman" w:hint="eastAsia"/>
          <w:sz w:val="24"/>
          <w:szCs w:val="24"/>
        </w:rPr>
        <w:t>2008</w:t>
      </w:r>
      <w:r w:rsidRPr="000478CB">
        <w:rPr>
          <w:rFonts w:ascii="Times New Roman" w:eastAsia="宋体" w:hAnsi="Times New Roman" w:cs="Times New Roman" w:hint="eastAsia"/>
          <w:sz w:val="24"/>
          <w:szCs w:val="24"/>
        </w:rPr>
        <w:t>年全球金融危机后，二十国集团逐步取代七国集团成为全球治理和国际货币金融合作的主导力量，但七国集团仍在西方治理及国际秩序中发挥重要作用。与此同时，</w:t>
      </w:r>
      <w:r w:rsidR="000069A2" w:rsidRPr="000478CB">
        <w:rPr>
          <w:rFonts w:ascii="Times New Roman" w:eastAsia="宋体" w:hAnsi="Times New Roman" w:cs="Times New Roman" w:hint="eastAsia"/>
          <w:sz w:val="24"/>
          <w:szCs w:val="24"/>
        </w:rPr>
        <w:t>金融稳定理事会与国际货币基金组织等一道成为深刻影响</w:t>
      </w:r>
      <w:r w:rsidR="00E215D5">
        <w:rPr>
          <w:rFonts w:ascii="Times New Roman" w:eastAsia="宋体" w:hAnsi="Times New Roman" w:cs="Times New Roman" w:hint="eastAsia"/>
          <w:sz w:val="24"/>
          <w:szCs w:val="24"/>
        </w:rPr>
        <w:t>全球</w:t>
      </w:r>
      <w:r w:rsidR="000069A2" w:rsidRPr="000478CB">
        <w:rPr>
          <w:rFonts w:ascii="Times New Roman" w:eastAsia="宋体" w:hAnsi="Times New Roman" w:cs="Times New Roman" w:hint="eastAsia"/>
          <w:sz w:val="24"/>
          <w:szCs w:val="24"/>
        </w:rPr>
        <w:t>金融发展</w:t>
      </w:r>
      <w:r w:rsidR="00E215D5">
        <w:rPr>
          <w:rFonts w:ascii="Times New Roman" w:eastAsia="宋体" w:hAnsi="Times New Roman" w:cs="Times New Roman" w:hint="eastAsia"/>
          <w:sz w:val="24"/>
          <w:szCs w:val="24"/>
        </w:rPr>
        <w:t>政策</w:t>
      </w:r>
      <w:r w:rsidR="000069A2" w:rsidRPr="000478CB">
        <w:rPr>
          <w:rFonts w:ascii="Times New Roman" w:eastAsia="宋体" w:hAnsi="Times New Roman" w:cs="Times New Roman" w:hint="eastAsia"/>
          <w:sz w:val="24"/>
          <w:szCs w:val="24"/>
        </w:rPr>
        <w:t>、金融市场稳定以及金融危机处置的重要机构。这些国际社会较为依赖的软</w:t>
      </w:r>
      <w:r w:rsidR="00EA2138" w:rsidRPr="000478CB">
        <w:rPr>
          <w:rFonts w:ascii="Times New Roman" w:eastAsia="宋体" w:hAnsi="Times New Roman" w:cs="Times New Roman" w:hint="eastAsia"/>
          <w:sz w:val="24"/>
          <w:szCs w:val="24"/>
        </w:rPr>
        <w:t>性</w:t>
      </w:r>
      <w:r w:rsidR="000069A2" w:rsidRPr="000478CB">
        <w:rPr>
          <w:rFonts w:ascii="Times New Roman" w:eastAsia="宋体" w:hAnsi="Times New Roman" w:cs="Times New Roman" w:hint="eastAsia"/>
          <w:sz w:val="24"/>
          <w:szCs w:val="24"/>
        </w:rPr>
        <w:t>金融基础设施，是多边合作的基本支撑，但在大国博弈中，特朗普新政府可能</w:t>
      </w:r>
      <w:r w:rsidR="00123DCC" w:rsidRPr="000478CB">
        <w:rPr>
          <w:rFonts w:ascii="Times New Roman" w:eastAsia="宋体" w:hAnsi="Times New Roman" w:cs="Times New Roman" w:hint="eastAsia"/>
          <w:sz w:val="24"/>
          <w:szCs w:val="24"/>
        </w:rPr>
        <w:t>对</w:t>
      </w:r>
      <w:r w:rsidR="0035796A" w:rsidRPr="000478CB">
        <w:rPr>
          <w:rFonts w:ascii="Times New Roman" w:eastAsia="宋体" w:hAnsi="Times New Roman" w:cs="Times New Roman" w:hint="eastAsia"/>
          <w:sz w:val="24"/>
          <w:szCs w:val="24"/>
        </w:rPr>
        <w:t>部分机构</w:t>
      </w:r>
      <w:r w:rsidR="000069A2" w:rsidRPr="000478CB">
        <w:rPr>
          <w:rFonts w:ascii="Times New Roman" w:eastAsia="宋体" w:hAnsi="Times New Roman" w:cs="Times New Roman" w:hint="eastAsia"/>
          <w:sz w:val="24"/>
          <w:szCs w:val="24"/>
        </w:rPr>
        <w:t>采取搁置</w:t>
      </w:r>
      <w:r w:rsidR="00E215D5">
        <w:rPr>
          <w:rFonts w:ascii="Times New Roman" w:eastAsia="宋体" w:hAnsi="Times New Roman" w:cs="Times New Roman" w:hint="eastAsia"/>
          <w:sz w:val="24"/>
          <w:szCs w:val="24"/>
        </w:rPr>
        <w:t>或忽视</w:t>
      </w:r>
      <w:r w:rsidR="000069A2" w:rsidRPr="000478CB">
        <w:rPr>
          <w:rFonts w:ascii="Times New Roman" w:eastAsia="宋体" w:hAnsi="Times New Roman" w:cs="Times New Roman" w:hint="eastAsia"/>
          <w:sz w:val="24"/>
          <w:szCs w:val="24"/>
        </w:rPr>
        <w:t>策略，弱化这些机构及其金融基础设施的功能。</w:t>
      </w:r>
    </w:p>
    <w:p w14:paraId="482C76AF" w14:textId="33661681" w:rsidR="00043BAE" w:rsidRPr="000478CB" w:rsidRDefault="00043BAE"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sidRPr="000478CB">
        <w:rPr>
          <w:rFonts w:ascii="Times New Roman" w:eastAsia="宋体" w:hAnsi="Times New Roman" w:cs="Times New Roman" w:hint="eastAsia"/>
          <w:sz w:val="24"/>
          <w:szCs w:val="24"/>
        </w:rPr>
        <w:t>（</w:t>
      </w:r>
      <w:r w:rsidR="00FE7A71" w:rsidRPr="000478CB">
        <w:rPr>
          <w:rFonts w:ascii="Times New Roman" w:eastAsia="宋体" w:hAnsi="Times New Roman" w:cs="Times New Roman" w:hint="eastAsia"/>
          <w:sz w:val="24"/>
          <w:szCs w:val="24"/>
        </w:rPr>
        <w:t>二</w:t>
      </w:r>
      <w:r w:rsidRPr="000478CB">
        <w:rPr>
          <w:rFonts w:ascii="Times New Roman" w:eastAsia="宋体" w:hAnsi="Times New Roman" w:cs="Times New Roman" w:hint="eastAsia"/>
          <w:sz w:val="24"/>
          <w:szCs w:val="24"/>
        </w:rPr>
        <w:t>）</w:t>
      </w:r>
      <w:r w:rsidR="00C04C25" w:rsidRPr="000478CB">
        <w:rPr>
          <w:rFonts w:ascii="Times New Roman" w:eastAsia="宋体" w:hAnsi="Times New Roman" w:cs="Times New Roman" w:hint="eastAsia"/>
          <w:sz w:val="24"/>
          <w:szCs w:val="24"/>
        </w:rPr>
        <w:t>强大</w:t>
      </w:r>
      <w:r w:rsidRPr="000478CB">
        <w:rPr>
          <w:rFonts w:ascii="Times New Roman" w:eastAsia="宋体" w:hAnsi="Times New Roman" w:cs="Times New Roman" w:hint="eastAsia"/>
          <w:sz w:val="24"/>
          <w:szCs w:val="24"/>
        </w:rPr>
        <w:t>资本市场</w:t>
      </w:r>
    </w:p>
    <w:p w14:paraId="6CD1E50C" w14:textId="3315C367" w:rsidR="00043BAE" w:rsidRPr="000478CB" w:rsidRDefault="00957804"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Pr>
          <w:rFonts w:ascii="Times New Roman" w:eastAsia="宋体" w:hAnsi="Times New Roman" w:cs="Times New Roman" w:hint="eastAsia"/>
          <w:sz w:val="24"/>
          <w:szCs w:val="24"/>
        </w:rPr>
        <w:t>成为</w:t>
      </w:r>
      <w:r w:rsidR="00241DCE" w:rsidRPr="000478CB">
        <w:rPr>
          <w:rFonts w:ascii="Times New Roman" w:eastAsia="宋体" w:hAnsi="Times New Roman" w:cs="Times New Roman" w:hint="eastAsia"/>
          <w:sz w:val="24"/>
          <w:szCs w:val="24"/>
        </w:rPr>
        <w:t>支持科技创新的枢纽</w:t>
      </w:r>
      <w:r w:rsidR="00F87DE0" w:rsidRPr="000478CB">
        <w:rPr>
          <w:rFonts w:ascii="Times New Roman" w:eastAsia="宋体" w:hAnsi="Times New Roman" w:cs="Times New Roman" w:hint="eastAsia"/>
          <w:sz w:val="24"/>
          <w:szCs w:val="24"/>
        </w:rPr>
        <w:t>，这是强大资本市场的第一特征。科技创新与金融发展具有内在的联系，</w:t>
      </w:r>
      <w:r w:rsidR="009A70BF" w:rsidRPr="000478CB">
        <w:rPr>
          <w:rFonts w:ascii="Times New Roman" w:eastAsia="宋体" w:hAnsi="Times New Roman" w:cs="Times New Roman" w:hint="eastAsia"/>
          <w:sz w:val="24"/>
          <w:szCs w:val="24"/>
        </w:rPr>
        <w:t>强大</w:t>
      </w:r>
      <w:r w:rsidR="00043BAE" w:rsidRPr="000478CB">
        <w:rPr>
          <w:rFonts w:ascii="Times New Roman" w:eastAsia="宋体" w:hAnsi="Times New Roman" w:cs="Times New Roman" w:hint="eastAsia"/>
          <w:sz w:val="24"/>
          <w:szCs w:val="24"/>
        </w:rPr>
        <w:t>资本市场是金融强国的标配</w:t>
      </w:r>
      <w:r w:rsidR="00F87DE0" w:rsidRPr="000478CB">
        <w:rPr>
          <w:rFonts w:ascii="Times New Roman" w:eastAsia="宋体" w:hAnsi="Times New Roman" w:cs="Times New Roman" w:hint="eastAsia"/>
          <w:sz w:val="24"/>
          <w:szCs w:val="24"/>
        </w:rPr>
        <w:t>，它</w:t>
      </w:r>
      <w:r w:rsidR="00043BAE" w:rsidRPr="000478CB">
        <w:rPr>
          <w:rFonts w:ascii="Times New Roman" w:eastAsia="宋体" w:hAnsi="Times New Roman" w:cs="Times New Roman" w:hint="eastAsia"/>
          <w:sz w:val="24"/>
          <w:szCs w:val="24"/>
        </w:rPr>
        <w:t>能</w:t>
      </w:r>
      <w:proofErr w:type="gramStart"/>
      <w:r w:rsidR="00043BAE" w:rsidRPr="000478CB">
        <w:rPr>
          <w:rFonts w:ascii="Times New Roman" w:eastAsia="宋体" w:hAnsi="Times New Roman" w:cs="Times New Roman" w:hint="eastAsia"/>
          <w:sz w:val="24"/>
          <w:szCs w:val="24"/>
        </w:rPr>
        <w:t>有效将</w:t>
      </w:r>
      <w:proofErr w:type="gramEnd"/>
      <w:r w:rsidR="00043BAE" w:rsidRPr="000478CB">
        <w:rPr>
          <w:rFonts w:ascii="Times New Roman" w:eastAsia="宋体" w:hAnsi="Times New Roman" w:cs="Times New Roman" w:hint="eastAsia"/>
          <w:sz w:val="24"/>
          <w:szCs w:val="24"/>
        </w:rPr>
        <w:t>储蓄直接转化为投资，将短期资金转化为耐心资本，为企业成长和产业发展提供长期支持，</w:t>
      </w:r>
      <w:r w:rsidR="009A70BF" w:rsidRPr="000478CB">
        <w:rPr>
          <w:rFonts w:ascii="Times New Roman" w:eastAsia="宋体" w:hAnsi="Times New Roman" w:cs="Times New Roman" w:hint="eastAsia"/>
          <w:sz w:val="24"/>
          <w:szCs w:val="24"/>
        </w:rPr>
        <w:t>特别是能够</w:t>
      </w:r>
      <w:r w:rsidR="00043BAE" w:rsidRPr="000478CB">
        <w:rPr>
          <w:rFonts w:ascii="Times New Roman" w:eastAsia="宋体" w:hAnsi="Times New Roman" w:cs="Times New Roman" w:hint="eastAsia"/>
          <w:sz w:val="24"/>
          <w:szCs w:val="24"/>
        </w:rPr>
        <w:t>为经济发展提供</w:t>
      </w:r>
      <w:r w:rsidR="00A6658C" w:rsidRPr="000478CB">
        <w:rPr>
          <w:rFonts w:ascii="Times New Roman" w:eastAsia="宋体" w:hAnsi="Times New Roman" w:cs="Times New Roman" w:hint="eastAsia"/>
          <w:sz w:val="24"/>
          <w:szCs w:val="24"/>
        </w:rPr>
        <w:t>技术</w:t>
      </w:r>
      <w:r w:rsidR="00043BAE" w:rsidRPr="000478CB">
        <w:rPr>
          <w:rFonts w:ascii="Times New Roman" w:eastAsia="宋体" w:hAnsi="Times New Roman" w:cs="Times New Roman" w:hint="eastAsia"/>
          <w:sz w:val="24"/>
          <w:szCs w:val="24"/>
        </w:rPr>
        <w:t>创新力</w:t>
      </w:r>
      <w:r w:rsidR="00A6658C" w:rsidRPr="000478CB">
        <w:rPr>
          <w:rFonts w:ascii="Times New Roman" w:eastAsia="宋体" w:hAnsi="Times New Roman" w:cs="Times New Roman" w:hint="eastAsia"/>
          <w:sz w:val="24"/>
          <w:szCs w:val="24"/>
        </w:rPr>
        <w:t>、产业创新力和模式创新力</w:t>
      </w:r>
      <w:r w:rsidR="00DD0BD7" w:rsidRPr="000478CB">
        <w:rPr>
          <w:rFonts w:ascii="Times New Roman" w:eastAsia="宋体" w:hAnsi="Times New Roman" w:cs="Times New Roman" w:hint="eastAsia"/>
          <w:sz w:val="24"/>
          <w:szCs w:val="24"/>
        </w:rPr>
        <w:t>（张晓晶，</w:t>
      </w:r>
      <w:r w:rsidR="00DD0BD7" w:rsidRPr="000478CB">
        <w:rPr>
          <w:rFonts w:ascii="Times New Roman" w:eastAsia="宋体" w:hAnsi="Times New Roman" w:cs="Times New Roman" w:hint="eastAsia"/>
          <w:sz w:val="24"/>
          <w:szCs w:val="24"/>
        </w:rPr>
        <w:t>2023</w:t>
      </w:r>
      <w:r w:rsidR="00DD0BD7" w:rsidRPr="000478CB">
        <w:rPr>
          <w:rFonts w:ascii="Times New Roman" w:eastAsia="宋体" w:hAnsi="Times New Roman" w:cs="Times New Roman" w:hint="eastAsia"/>
          <w:sz w:val="24"/>
          <w:szCs w:val="24"/>
        </w:rPr>
        <w:t>）</w:t>
      </w:r>
      <w:r w:rsidR="00043BAE" w:rsidRPr="000478CB">
        <w:rPr>
          <w:rFonts w:ascii="Times New Roman" w:eastAsia="宋体" w:hAnsi="Times New Roman" w:cs="Times New Roman" w:hint="eastAsia"/>
          <w:sz w:val="24"/>
          <w:szCs w:val="24"/>
        </w:rPr>
        <w:t>。以股权换资金的直接融资</w:t>
      </w:r>
      <w:r w:rsidR="009A70BF" w:rsidRPr="000478CB">
        <w:rPr>
          <w:rFonts w:ascii="Times New Roman" w:eastAsia="宋体" w:hAnsi="Times New Roman" w:cs="Times New Roman" w:hint="eastAsia"/>
          <w:sz w:val="24"/>
          <w:szCs w:val="24"/>
        </w:rPr>
        <w:t>对金融体系</w:t>
      </w:r>
      <w:r w:rsidR="00A6658C" w:rsidRPr="000478CB">
        <w:rPr>
          <w:rFonts w:ascii="Times New Roman" w:eastAsia="宋体" w:hAnsi="Times New Roman" w:cs="Times New Roman" w:hint="eastAsia"/>
          <w:sz w:val="24"/>
          <w:szCs w:val="24"/>
        </w:rPr>
        <w:t>和经济产业</w:t>
      </w:r>
      <w:r w:rsidR="009A70BF" w:rsidRPr="000478CB">
        <w:rPr>
          <w:rFonts w:ascii="Times New Roman" w:eastAsia="宋体" w:hAnsi="Times New Roman" w:cs="Times New Roman" w:hint="eastAsia"/>
          <w:sz w:val="24"/>
          <w:szCs w:val="24"/>
        </w:rPr>
        <w:t>具有一定“创造性破坏”功能，</w:t>
      </w:r>
      <w:r w:rsidR="00043BAE" w:rsidRPr="000478CB">
        <w:rPr>
          <w:rFonts w:ascii="Times New Roman" w:eastAsia="宋体" w:hAnsi="Times New Roman" w:cs="Times New Roman" w:hint="eastAsia"/>
          <w:sz w:val="24"/>
          <w:szCs w:val="24"/>
        </w:rPr>
        <w:t>被认为是优化金融结构和提升金融功能的重要之策，是促进科技创新和企业成长最有效的金融服务范式</w:t>
      </w:r>
      <w:r w:rsidR="00A6658C" w:rsidRPr="000478CB">
        <w:rPr>
          <w:rFonts w:ascii="Times New Roman" w:eastAsia="宋体" w:hAnsi="Times New Roman" w:cs="Times New Roman" w:hint="eastAsia"/>
          <w:sz w:val="24"/>
          <w:szCs w:val="24"/>
        </w:rPr>
        <w:t>。与此同时，强大资本市场</w:t>
      </w:r>
      <w:r w:rsidR="009A70BF" w:rsidRPr="000478CB">
        <w:rPr>
          <w:rFonts w:ascii="Times New Roman" w:eastAsia="宋体" w:hAnsi="Times New Roman" w:cs="Times New Roman" w:hint="eastAsia"/>
          <w:sz w:val="24"/>
          <w:szCs w:val="24"/>
        </w:rPr>
        <w:t>能</w:t>
      </w:r>
      <w:r w:rsidR="00043BAE" w:rsidRPr="000478CB">
        <w:rPr>
          <w:rFonts w:ascii="Times New Roman" w:eastAsia="宋体" w:hAnsi="Times New Roman" w:cs="Times New Roman"/>
          <w:sz w:val="24"/>
          <w:szCs w:val="24"/>
        </w:rPr>
        <w:t>有效完善金融市场结构、增强金融体系韧性</w:t>
      </w:r>
      <w:r w:rsidR="009A70BF" w:rsidRPr="000478CB">
        <w:rPr>
          <w:rFonts w:ascii="Times New Roman" w:eastAsia="宋体" w:hAnsi="Times New Roman" w:cs="Times New Roman" w:hint="eastAsia"/>
          <w:sz w:val="24"/>
          <w:szCs w:val="24"/>
        </w:rPr>
        <w:t>，促进金融市场自身创新发展</w:t>
      </w:r>
      <w:r w:rsidR="00043BAE" w:rsidRPr="000478CB">
        <w:rPr>
          <w:rFonts w:ascii="Times New Roman" w:eastAsia="宋体" w:hAnsi="Times New Roman" w:cs="Times New Roman"/>
          <w:sz w:val="24"/>
          <w:szCs w:val="24"/>
        </w:rPr>
        <w:t>（</w:t>
      </w:r>
      <w:r w:rsidR="00043BAE" w:rsidRPr="000478CB">
        <w:rPr>
          <w:rFonts w:ascii="Times New Roman" w:eastAsia="宋体" w:hAnsi="Times New Roman" w:cs="Times New Roman"/>
          <w:sz w:val="24"/>
          <w:szCs w:val="24"/>
        </w:rPr>
        <w:t>Allen</w:t>
      </w:r>
      <w:r w:rsidR="007A64A0">
        <w:rPr>
          <w:rFonts w:ascii="Times New Roman" w:eastAsia="宋体" w:hAnsi="Times New Roman" w:cs="Times New Roman" w:hint="eastAsia"/>
          <w:sz w:val="24"/>
          <w:szCs w:val="24"/>
        </w:rPr>
        <w:t xml:space="preserve"> et al.</w:t>
      </w:r>
      <w:r w:rsidR="00043BAE" w:rsidRPr="000478CB">
        <w:rPr>
          <w:rFonts w:ascii="Times New Roman" w:eastAsia="宋体" w:hAnsi="Times New Roman" w:cs="Times New Roman"/>
          <w:sz w:val="24"/>
          <w:szCs w:val="24"/>
        </w:rPr>
        <w:t>，</w:t>
      </w:r>
      <w:r w:rsidR="00043BAE" w:rsidRPr="000478CB">
        <w:rPr>
          <w:rFonts w:ascii="Times New Roman" w:eastAsia="宋体" w:hAnsi="Times New Roman" w:cs="Times New Roman"/>
          <w:sz w:val="24"/>
          <w:szCs w:val="24"/>
        </w:rPr>
        <w:t>2012</w:t>
      </w:r>
      <w:r w:rsidR="00043BAE" w:rsidRPr="000478CB">
        <w:rPr>
          <w:rFonts w:ascii="Times New Roman" w:eastAsia="宋体" w:hAnsi="Times New Roman" w:cs="Times New Roman"/>
          <w:sz w:val="24"/>
          <w:szCs w:val="24"/>
        </w:rPr>
        <w:t>）</w:t>
      </w:r>
      <w:r w:rsidR="00F87DE0" w:rsidRPr="000478CB">
        <w:rPr>
          <w:rFonts w:ascii="Times New Roman" w:eastAsia="宋体" w:hAnsi="Times New Roman" w:cs="Times New Roman" w:hint="eastAsia"/>
          <w:sz w:val="24"/>
          <w:szCs w:val="24"/>
        </w:rPr>
        <w:t>，是东西方金融大分流的重要体现</w:t>
      </w:r>
      <w:r w:rsidR="00043BAE" w:rsidRPr="000478CB">
        <w:rPr>
          <w:rFonts w:ascii="Times New Roman" w:eastAsia="宋体" w:hAnsi="Times New Roman" w:cs="Times New Roman"/>
          <w:sz w:val="24"/>
          <w:szCs w:val="24"/>
        </w:rPr>
        <w:t>。</w:t>
      </w:r>
      <w:r w:rsidR="009A70BF" w:rsidRPr="000478CB">
        <w:rPr>
          <w:rFonts w:ascii="Times New Roman" w:eastAsia="宋体" w:hAnsi="Times New Roman" w:cs="Times New Roman" w:hint="eastAsia"/>
          <w:sz w:val="24"/>
          <w:szCs w:val="24"/>
        </w:rPr>
        <w:t>强大资本市场是内外资源统筹和内外大局统筹的关键抓手，能够促进</w:t>
      </w:r>
      <w:r w:rsidR="00F87DE0" w:rsidRPr="000478CB">
        <w:rPr>
          <w:rFonts w:ascii="Times New Roman" w:eastAsia="宋体" w:hAnsi="Times New Roman" w:cs="Times New Roman" w:hint="eastAsia"/>
          <w:sz w:val="24"/>
          <w:szCs w:val="24"/>
        </w:rPr>
        <w:t>区域和</w:t>
      </w:r>
      <w:r w:rsidR="009A70BF" w:rsidRPr="000478CB">
        <w:rPr>
          <w:rFonts w:ascii="Times New Roman" w:eastAsia="宋体" w:hAnsi="Times New Roman" w:cs="Times New Roman" w:hint="eastAsia"/>
          <w:sz w:val="24"/>
          <w:szCs w:val="24"/>
        </w:rPr>
        <w:t>全球储蓄投资转化、科技创新培育</w:t>
      </w:r>
      <w:r w:rsidR="00F87DE0" w:rsidRPr="000478CB">
        <w:rPr>
          <w:rFonts w:ascii="Times New Roman" w:eastAsia="宋体" w:hAnsi="Times New Roman" w:cs="Times New Roman" w:hint="eastAsia"/>
          <w:sz w:val="24"/>
          <w:szCs w:val="24"/>
        </w:rPr>
        <w:t>及</w:t>
      </w:r>
      <w:r w:rsidR="009A70BF" w:rsidRPr="000478CB">
        <w:rPr>
          <w:rFonts w:ascii="Times New Roman" w:eastAsia="宋体" w:hAnsi="Times New Roman" w:cs="Times New Roman" w:hint="eastAsia"/>
          <w:sz w:val="24"/>
          <w:szCs w:val="24"/>
        </w:rPr>
        <w:t>产业链优化重构。</w:t>
      </w:r>
      <w:r w:rsidR="00DD0BD7">
        <w:rPr>
          <w:rFonts w:ascii="Times New Roman" w:eastAsia="宋体" w:hAnsi="Times New Roman" w:cs="Times New Roman" w:hint="eastAsia"/>
          <w:sz w:val="24"/>
          <w:szCs w:val="24"/>
        </w:rPr>
        <w:t>可见，</w:t>
      </w:r>
      <w:r w:rsidR="00043BAE" w:rsidRPr="000478CB">
        <w:rPr>
          <w:rFonts w:ascii="Times New Roman" w:eastAsia="宋体" w:hAnsi="Times New Roman" w:cs="Times New Roman" w:hint="eastAsia"/>
          <w:sz w:val="24"/>
          <w:szCs w:val="24"/>
        </w:rPr>
        <w:t>资本市场繁荣发展对一个国家的经济增长、技术创新和金融发展都起着举足轻重的作用。</w:t>
      </w:r>
      <w:r w:rsidR="009A70BF" w:rsidRPr="000478CB">
        <w:rPr>
          <w:rFonts w:ascii="Times New Roman" w:eastAsia="宋体" w:hAnsi="Times New Roman" w:cs="Times New Roman" w:hint="eastAsia"/>
          <w:sz w:val="24"/>
          <w:szCs w:val="24"/>
        </w:rPr>
        <w:t>建设强大</w:t>
      </w:r>
      <w:r w:rsidR="00043BAE" w:rsidRPr="000478CB">
        <w:rPr>
          <w:rFonts w:ascii="Times New Roman" w:eastAsia="宋体" w:hAnsi="Times New Roman" w:cs="Times New Roman" w:hint="eastAsia"/>
          <w:sz w:val="24"/>
          <w:szCs w:val="24"/>
        </w:rPr>
        <w:t>资本市场已然成为大国金融博弈的核心内容</w:t>
      </w:r>
      <w:r w:rsidR="00121794">
        <w:rPr>
          <w:rFonts w:ascii="Times New Roman" w:eastAsia="宋体" w:hAnsi="Times New Roman" w:cs="Times New Roman" w:hint="eastAsia"/>
          <w:sz w:val="24"/>
          <w:szCs w:val="24"/>
        </w:rPr>
        <w:t>之一</w:t>
      </w:r>
      <w:r w:rsidR="00043BAE" w:rsidRPr="000478CB">
        <w:rPr>
          <w:rFonts w:ascii="Times New Roman" w:eastAsia="宋体" w:hAnsi="Times New Roman" w:cs="Times New Roman" w:hint="eastAsia"/>
          <w:sz w:val="24"/>
          <w:szCs w:val="24"/>
        </w:rPr>
        <w:t>。</w:t>
      </w:r>
    </w:p>
    <w:p w14:paraId="06CEA4EB" w14:textId="64F61E28" w:rsidR="00F304F4" w:rsidRPr="000478CB" w:rsidRDefault="00F304F4"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sidRPr="000478CB">
        <w:rPr>
          <w:rFonts w:ascii="Times New Roman" w:eastAsia="宋体" w:hAnsi="Times New Roman" w:cs="Times New Roman" w:hint="eastAsia"/>
          <w:sz w:val="24"/>
          <w:szCs w:val="24"/>
        </w:rPr>
        <w:t>回顾中美</w:t>
      </w:r>
      <w:r w:rsidR="00F87DE0" w:rsidRPr="000478CB">
        <w:rPr>
          <w:rFonts w:ascii="Times New Roman" w:eastAsia="宋体" w:hAnsi="Times New Roman" w:cs="Times New Roman" w:hint="eastAsia"/>
          <w:sz w:val="24"/>
          <w:szCs w:val="24"/>
        </w:rPr>
        <w:t>资本市场</w:t>
      </w:r>
      <w:r w:rsidRPr="000478CB">
        <w:rPr>
          <w:rFonts w:ascii="Times New Roman" w:eastAsia="宋体" w:hAnsi="Times New Roman" w:cs="Times New Roman" w:hint="eastAsia"/>
          <w:sz w:val="24"/>
          <w:szCs w:val="24"/>
        </w:rPr>
        <w:t>行业结构和</w:t>
      </w:r>
      <w:r w:rsidR="00F87DE0" w:rsidRPr="000478CB">
        <w:rPr>
          <w:rFonts w:ascii="Times New Roman" w:eastAsia="宋体" w:hAnsi="Times New Roman" w:cs="Times New Roman" w:hint="eastAsia"/>
          <w:sz w:val="24"/>
          <w:szCs w:val="24"/>
        </w:rPr>
        <w:t>市值领先上市</w:t>
      </w:r>
      <w:r w:rsidRPr="000478CB">
        <w:rPr>
          <w:rFonts w:ascii="Times New Roman" w:eastAsia="宋体" w:hAnsi="Times New Roman" w:cs="Times New Roman" w:hint="eastAsia"/>
          <w:sz w:val="24"/>
          <w:szCs w:val="24"/>
        </w:rPr>
        <w:t>公司</w:t>
      </w:r>
      <w:r w:rsidR="00121794">
        <w:rPr>
          <w:rFonts w:ascii="Times New Roman" w:eastAsia="宋体" w:hAnsi="Times New Roman" w:cs="Times New Roman" w:hint="eastAsia"/>
          <w:sz w:val="24"/>
          <w:szCs w:val="24"/>
        </w:rPr>
        <w:t>的情况</w:t>
      </w:r>
      <w:r w:rsidRPr="000478CB">
        <w:rPr>
          <w:rFonts w:ascii="Times New Roman" w:eastAsia="宋体" w:hAnsi="Times New Roman" w:cs="Times New Roman" w:hint="eastAsia"/>
          <w:sz w:val="24"/>
          <w:szCs w:val="24"/>
        </w:rPr>
        <w:t>，可清晰看到</w:t>
      </w:r>
      <w:r w:rsidR="00121794">
        <w:rPr>
          <w:rFonts w:ascii="Times New Roman" w:eastAsia="宋体" w:hAnsi="Times New Roman" w:cs="Times New Roman" w:hint="eastAsia"/>
          <w:sz w:val="24"/>
          <w:szCs w:val="24"/>
        </w:rPr>
        <w:t>两国资本市场存在结构性差异，资本市场对科技创新的支撑功能也有所不同</w:t>
      </w:r>
      <w:r w:rsidRPr="000478CB">
        <w:rPr>
          <w:rFonts w:ascii="Times New Roman" w:eastAsia="宋体" w:hAnsi="Times New Roman" w:cs="Times New Roman" w:hint="eastAsia"/>
          <w:sz w:val="24"/>
          <w:szCs w:val="24"/>
        </w:rPr>
        <w:t>。过去</w:t>
      </w:r>
      <w:r w:rsidRPr="000478CB">
        <w:rPr>
          <w:rFonts w:ascii="Times New Roman" w:eastAsia="宋体" w:hAnsi="Times New Roman" w:cs="Times New Roman" w:hint="eastAsia"/>
          <w:sz w:val="24"/>
          <w:szCs w:val="24"/>
        </w:rPr>
        <w:t>10</w:t>
      </w:r>
      <w:r w:rsidR="00754D12">
        <w:rPr>
          <w:rFonts w:ascii="Times New Roman" w:eastAsia="宋体" w:hAnsi="Times New Roman" w:cs="Times New Roman" w:hint="eastAsia"/>
          <w:sz w:val="24"/>
          <w:szCs w:val="24"/>
        </w:rPr>
        <w:t>年</w:t>
      </w:r>
      <w:r w:rsidR="00121794">
        <w:rPr>
          <w:rFonts w:ascii="Times New Roman" w:eastAsia="宋体" w:hAnsi="Times New Roman" w:cs="Times New Roman" w:hint="eastAsia"/>
          <w:sz w:val="24"/>
          <w:szCs w:val="24"/>
        </w:rPr>
        <w:t>，</w:t>
      </w:r>
      <w:r w:rsidR="00121794" w:rsidRPr="000478CB">
        <w:rPr>
          <w:rFonts w:ascii="Times New Roman" w:eastAsia="宋体" w:hAnsi="Times New Roman" w:cs="Times New Roman" w:hint="eastAsia"/>
          <w:sz w:val="24"/>
          <w:szCs w:val="24"/>
        </w:rPr>
        <w:t>美国</w:t>
      </w:r>
      <w:r w:rsidR="00121794">
        <w:rPr>
          <w:rFonts w:ascii="Times New Roman" w:eastAsia="宋体" w:hAnsi="Times New Roman" w:cs="Times New Roman" w:hint="eastAsia"/>
          <w:sz w:val="24"/>
          <w:szCs w:val="24"/>
        </w:rPr>
        <w:t>股市</w:t>
      </w:r>
      <w:r w:rsidRPr="000478CB">
        <w:rPr>
          <w:rFonts w:ascii="Times New Roman" w:eastAsia="宋体" w:hAnsi="Times New Roman" w:cs="Times New Roman" w:hint="eastAsia"/>
          <w:sz w:val="24"/>
          <w:szCs w:val="24"/>
        </w:rPr>
        <w:t>年度前</w:t>
      </w:r>
      <w:r w:rsidRPr="000478CB">
        <w:rPr>
          <w:rFonts w:ascii="Times New Roman" w:eastAsia="宋体" w:hAnsi="Times New Roman" w:cs="Times New Roman" w:hint="eastAsia"/>
          <w:sz w:val="24"/>
          <w:szCs w:val="24"/>
        </w:rPr>
        <w:t>10</w:t>
      </w:r>
      <w:r w:rsidRPr="000478CB">
        <w:rPr>
          <w:rFonts w:ascii="Times New Roman" w:eastAsia="宋体" w:hAnsi="Times New Roman" w:cs="Times New Roman" w:hint="eastAsia"/>
          <w:sz w:val="24"/>
          <w:szCs w:val="24"/>
        </w:rPr>
        <w:t>大市值公司基本都是创新型企业</w:t>
      </w:r>
      <w:r w:rsidR="00121794">
        <w:rPr>
          <w:rFonts w:ascii="Times New Roman" w:eastAsia="宋体" w:hAnsi="Times New Roman" w:cs="Times New Roman" w:hint="eastAsia"/>
          <w:sz w:val="24"/>
          <w:szCs w:val="24"/>
        </w:rPr>
        <w:t>。这些创新型明星公司</w:t>
      </w:r>
      <w:r w:rsidR="00121794">
        <w:rPr>
          <w:rFonts w:ascii="Times New Roman" w:eastAsia="宋体" w:hAnsi="Times New Roman" w:cs="Times New Roman" w:hint="eastAsia"/>
          <w:sz w:val="24"/>
          <w:szCs w:val="24"/>
        </w:rPr>
        <w:lastRenderedPageBreak/>
        <w:t>一般是重大科技创新领域的引领者，维系着</w:t>
      </w:r>
      <w:r w:rsidRPr="000478CB">
        <w:rPr>
          <w:rFonts w:ascii="Times New Roman" w:eastAsia="宋体" w:hAnsi="Times New Roman" w:cs="Times New Roman" w:hint="eastAsia"/>
          <w:sz w:val="24"/>
          <w:szCs w:val="24"/>
        </w:rPr>
        <w:t>一系列的创新链、价值链和产业链。而中国</w:t>
      </w:r>
      <w:r w:rsidR="00754D12">
        <w:rPr>
          <w:rFonts w:ascii="Times New Roman" w:eastAsia="宋体" w:hAnsi="Times New Roman" w:cs="Times New Roman" w:hint="eastAsia"/>
          <w:sz w:val="24"/>
          <w:szCs w:val="24"/>
        </w:rPr>
        <w:t>股市</w:t>
      </w:r>
      <w:r w:rsidRPr="000478CB">
        <w:rPr>
          <w:rFonts w:ascii="Times New Roman" w:eastAsia="宋体" w:hAnsi="Times New Roman" w:cs="Times New Roman" w:hint="eastAsia"/>
          <w:sz w:val="24"/>
          <w:szCs w:val="24"/>
        </w:rPr>
        <w:t>过去</w:t>
      </w:r>
      <w:r w:rsidRPr="000478CB">
        <w:rPr>
          <w:rFonts w:ascii="Times New Roman" w:eastAsia="宋体" w:hAnsi="Times New Roman" w:cs="Times New Roman" w:hint="eastAsia"/>
          <w:sz w:val="24"/>
          <w:szCs w:val="24"/>
        </w:rPr>
        <w:t>10</w:t>
      </w:r>
      <w:r w:rsidR="00754D12">
        <w:rPr>
          <w:rFonts w:ascii="Times New Roman" w:eastAsia="宋体" w:hAnsi="Times New Roman" w:cs="Times New Roman" w:hint="eastAsia"/>
          <w:sz w:val="24"/>
          <w:szCs w:val="24"/>
        </w:rPr>
        <w:t>年</w:t>
      </w:r>
      <w:r w:rsidRPr="000478CB">
        <w:rPr>
          <w:rFonts w:ascii="Times New Roman" w:eastAsia="宋体" w:hAnsi="Times New Roman" w:cs="Times New Roman" w:hint="eastAsia"/>
          <w:sz w:val="24"/>
          <w:szCs w:val="24"/>
        </w:rPr>
        <w:t>前</w:t>
      </w:r>
      <w:r w:rsidRPr="000478CB">
        <w:rPr>
          <w:rFonts w:ascii="Times New Roman" w:eastAsia="宋体" w:hAnsi="Times New Roman" w:cs="Times New Roman" w:hint="eastAsia"/>
          <w:sz w:val="24"/>
          <w:szCs w:val="24"/>
        </w:rPr>
        <w:t>10</w:t>
      </w:r>
      <w:r w:rsidRPr="000478CB">
        <w:rPr>
          <w:rFonts w:ascii="Times New Roman" w:eastAsia="宋体" w:hAnsi="Times New Roman" w:cs="Times New Roman" w:hint="eastAsia"/>
          <w:sz w:val="24"/>
          <w:szCs w:val="24"/>
        </w:rPr>
        <w:t>大市值公司主要来自金融、能源等行业。</w:t>
      </w:r>
      <w:r w:rsidRPr="000478CB">
        <w:rPr>
          <w:rFonts w:ascii="Times New Roman" w:eastAsia="宋体" w:hAnsi="Times New Roman" w:cs="Times New Roman" w:hint="eastAsia"/>
          <w:sz w:val="24"/>
          <w:szCs w:val="24"/>
        </w:rPr>
        <w:t>2024</w:t>
      </w:r>
      <w:r w:rsidRPr="000478CB">
        <w:rPr>
          <w:rFonts w:ascii="Times New Roman" w:eastAsia="宋体" w:hAnsi="Times New Roman" w:cs="Times New Roman" w:hint="eastAsia"/>
          <w:sz w:val="24"/>
          <w:szCs w:val="24"/>
        </w:rPr>
        <w:t>年末，</w:t>
      </w:r>
      <w:r w:rsidRPr="000478CB">
        <w:rPr>
          <w:rFonts w:ascii="Times New Roman" w:eastAsia="宋体" w:hAnsi="Times New Roman" w:cs="Times New Roman" w:hint="eastAsia"/>
          <w:sz w:val="24"/>
          <w:szCs w:val="24"/>
        </w:rPr>
        <w:t>A</w:t>
      </w:r>
      <w:r w:rsidRPr="000478CB">
        <w:rPr>
          <w:rFonts w:ascii="Times New Roman" w:eastAsia="宋体" w:hAnsi="Times New Roman" w:cs="Times New Roman" w:hint="eastAsia"/>
          <w:sz w:val="24"/>
          <w:szCs w:val="24"/>
        </w:rPr>
        <w:t>股前</w:t>
      </w:r>
      <w:r w:rsidRPr="000478CB">
        <w:rPr>
          <w:rFonts w:ascii="Times New Roman" w:eastAsia="宋体" w:hAnsi="Times New Roman" w:cs="Times New Roman" w:hint="eastAsia"/>
          <w:sz w:val="24"/>
          <w:szCs w:val="24"/>
        </w:rPr>
        <w:t>10</w:t>
      </w:r>
      <w:r w:rsidRPr="000478CB">
        <w:rPr>
          <w:rFonts w:ascii="Times New Roman" w:eastAsia="宋体" w:hAnsi="Times New Roman" w:cs="Times New Roman" w:hint="eastAsia"/>
          <w:sz w:val="24"/>
          <w:szCs w:val="24"/>
        </w:rPr>
        <w:t>大公司市值</w:t>
      </w:r>
      <w:r w:rsidR="00754D12">
        <w:rPr>
          <w:rFonts w:ascii="Times New Roman" w:eastAsia="宋体" w:hAnsi="Times New Roman" w:cs="Times New Roman" w:hint="eastAsia"/>
          <w:sz w:val="24"/>
          <w:szCs w:val="24"/>
        </w:rPr>
        <w:t>合计</w:t>
      </w:r>
      <w:r w:rsidRPr="000478CB">
        <w:rPr>
          <w:rFonts w:ascii="Times New Roman" w:eastAsia="宋体" w:hAnsi="Times New Roman" w:cs="Times New Roman" w:hint="eastAsia"/>
          <w:sz w:val="24"/>
          <w:szCs w:val="24"/>
        </w:rPr>
        <w:t>为</w:t>
      </w:r>
      <w:r w:rsidRPr="000478CB">
        <w:rPr>
          <w:rFonts w:ascii="Times New Roman" w:eastAsia="宋体" w:hAnsi="Times New Roman" w:cs="Times New Roman" w:hint="eastAsia"/>
          <w:sz w:val="24"/>
          <w:szCs w:val="24"/>
        </w:rPr>
        <w:t>18</w:t>
      </w:r>
      <w:proofErr w:type="gramStart"/>
      <w:r w:rsidRPr="000478CB">
        <w:rPr>
          <w:rFonts w:ascii="Times New Roman" w:eastAsia="宋体" w:hAnsi="Times New Roman" w:cs="Times New Roman" w:hint="eastAsia"/>
          <w:sz w:val="24"/>
          <w:szCs w:val="24"/>
        </w:rPr>
        <w:t>万亿</w:t>
      </w:r>
      <w:proofErr w:type="gramEnd"/>
      <w:r w:rsidRPr="000478CB">
        <w:rPr>
          <w:rFonts w:ascii="Times New Roman" w:eastAsia="宋体" w:hAnsi="Times New Roman" w:cs="Times New Roman" w:hint="eastAsia"/>
          <w:sz w:val="24"/>
          <w:szCs w:val="24"/>
        </w:rPr>
        <w:t>元，而美国第一大上市公司苹果市值就高达</w:t>
      </w:r>
      <w:r w:rsidRPr="000478CB">
        <w:rPr>
          <w:rFonts w:ascii="Times New Roman" w:eastAsia="宋体" w:hAnsi="Times New Roman" w:cs="Times New Roman" w:hint="eastAsia"/>
          <w:sz w:val="24"/>
          <w:szCs w:val="24"/>
        </w:rPr>
        <w:t>27</w:t>
      </w:r>
      <w:proofErr w:type="gramStart"/>
      <w:r w:rsidRPr="000478CB">
        <w:rPr>
          <w:rFonts w:ascii="Times New Roman" w:eastAsia="宋体" w:hAnsi="Times New Roman" w:cs="Times New Roman" w:hint="eastAsia"/>
          <w:sz w:val="24"/>
          <w:szCs w:val="24"/>
        </w:rPr>
        <w:t>万亿</w:t>
      </w:r>
      <w:proofErr w:type="gramEnd"/>
      <w:r w:rsidRPr="000478CB">
        <w:rPr>
          <w:rFonts w:ascii="Times New Roman" w:eastAsia="宋体" w:hAnsi="Times New Roman" w:cs="Times New Roman" w:hint="eastAsia"/>
          <w:sz w:val="24"/>
          <w:szCs w:val="24"/>
        </w:rPr>
        <w:t>元，美股前</w:t>
      </w:r>
      <w:r w:rsidRPr="000478CB">
        <w:rPr>
          <w:rFonts w:ascii="Times New Roman" w:eastAsia="宋体" w:hAnsi="Times New Roman" w:cs="Times New Roman" w:hint="eastAsia"/>
          <w:sz w:val="24"/>
          <w:szCs w:val="24"/>
        </w:rPr>
        <w:t>10</w:t>
      </w:r>
      <w:r w:rsidRPr="000478CB">
        <w:rPr>
          <w:rFonts w:ascii="Times New Roman" w:eastAsia="宋体" w:hAnsi="Times New Roman" w:cs="Times New Roman" w:hint="eastAsia"/>
          <w:sz w:val="24"/>
          <w:szCs w:val="24"/>
        </w:rPr>
        <w:t>大公司市值</w:t>
      </w:r>
      <w:r w:rsidR="00754D12">
        <w:rPr>
          <w:rFonts w:ascii="Times New Roman" w:eastAsia="宋体" w:hAnsi="Times New Roman" w:cs="Times New Roman" w:hint="eastAsia"/>
          <w:sz w:val="24"/>
          <w:szCs w:val="24"/>
        </w:rPr>
        <w:t>合计</w:t>
      </w:r>
      <w:r w:rsidRPr="000478CB">
        <w:rPr>
          <w:rFonts w:ascii="Times New Roman" w:eastAsia="宋体" w:hAnsi="Times New Roman" w:cs="Times New Roman" w:hint="eastAsia"/>
          <w:sz w:val="24"/>
          <w:szCs w:val="24"/>
        </w:rPr>
        <w:t>超过</w:t>
      </w:r>
      <w:r w:rsidRPr="000478CB">
        <w:rPr>
          <w:rFonts w:ascii="Times New Roman" w:eastAsia="宋体" w:hAnsi="Times New Roman" w:cs="Times New Roman" w:hint="eastAsia"/>
          <w:sz w:val="24"/>
          <w:szCs w:val="24"/>
        </w:rPr>
        <w:t>148.87</w:t>
      </w:r>
      <w:proofErr w:type="gramStart"/>
      <w:r w:rsidRPr="000478CB">
        <w:rPr>
          <w:rFonts w:ascii="Times New Roman" w:eastAsia="宋体" w:hAnsi="Times New Roman" w:cs="Times New Roman" w:hint="eastAsia"/>
          <w:sz w:val="24"/>
          <w:szCs w:val="24"/>
        </w:rPr>
        <w:t>万亿</w:t>
      </w:r>
      <w:proofErr w:type="gramEnd"/>
      <w:r w:rsidRPr="000478CB">
        <w:rPr>
          <w:rFonts w:ascii="Times New Roman" w:eastAsia="宋体" w:hAnsi="Times New Roman" w:cs="Times New Roman" w:hint="eastAsia"/>
          <w:sz w:val="24"/>
          <w:szCs w:val="24"/>
        </w:rPr>
        <w:t>元（详见表</w:t>
      </w:r>
      <w:r w:rsidR="00604C59" w:rsidRPr="000478CB">
        <w:rPr>
          <w:rFonts w:ascii="Times New Roman" w:eastAsia="宋体" w:hAnsi="Times New Roman" w:cs="Times New Roman" w:hint="eastAsia"/>
          <w:sz w:val="24"/>
          <w:szCs w:val="24"/>
        </w:rPr>
        <w:t>1</w:t>
      </w:r>
      <w:r w:rsidRPr="000478CB">
        <w:rPr>
          <w:rFonts w:ascii="Times New Roman" w:eastAsia="宋体" w:hAnsi="Times New Roman" w:cs="Times New Roman" w:hint="eastAsia"/>
          <w:sz w:val="24"/>
          <w:szCs w:val="24"/>
        </w:rPr>
        <w:t>）</w:t>
      </w:r>
      <w:r w:rsidRPr="003F1445">
        <w:rPr>
          <w:rFonts w:ascii="Times New Roman" w:hAnsi="Times New Roman" w:cs="Times New Roman"/>
          <w:sz w:val="24"/>
          <w:szCs w:val="24"/>
          <w:vertAlign w:val="superscript"/>
        </w:rPr>
        <w:footnoteReference w:id="10"/>
      </w:r>
      <w:r w:rsidRPr="000478CB">
        <w:rPr>
          <w:rFonts w:ascii="Times New Roman" w:eastAsia="宋体" w:hAnsi="Times New Roman" w:cs="Times New Roman" w:hint="eastAsia"/>
          <w:sz w:val="24"/>
          <w:szCs w:val="24"/>
        </w:rPr>
        <w:t>。由于科技</w:t>
      </w:r>
      <w:r w:rsidR="00D410B0" w:rsidRPr="000478CB">
        <w:rPr>
          <w:rFonts w:ascii="Times New Roman" w:eastAsia="宋体" w:hAnsi="Times New Roman" w:cs="Times New Roman" w:hint="eastAsia"/>
          <w:sz w:val="24"/>
          <w:szCs w:val="24"/>
        </w:rPr>
        <w:t>创新力</w:t>
      </w:r>
      <w:r w:rsidRPr="000478CB">
        <w:rPr>
          <w:rFonts w:ascii="Times New Roman" w:eastAsia="宋体" w:hAnsi="Times New Roman" w:cs="Times New Roman" w:hint="eastAsia"/>
          <w:sz w:val="24"/>
          <w:szCs w:val="24"/>
        </w:rPr>
        <w:t>、</w:t>
      </w:r>
      <w:r w:rsidR="00D410B0" w:rsidRPr="000478CB">
        <w:rPr>
          <w:rFonts w:ascii="Times New Roman" w:eastAsia="宋体" w:hAnsi="Times New Roman" w:cs="Times New Roman" w:hint="eastAsia"/>
          <w:sz w:val="24"/>
          <w:szCs w:val="24"/>
        </w:rPr>
        <w:t>行业</w:t>
      </w:r>
      <w:proofErr w:type="gramStart"/>
      <w:r w:rsidR="00D410B0" w:rsidRPr="000478CB">
        <w:rPr>
          <w:rFonts w:ascii="Times New Roman" w:eastAsia="宋体" w:hAnsi="Times New Roman" w:cs="Times New Roman" w:hint="eastAsia"/>
          <w:sz w:val="24"/>
          <w:szCs w:val="24"/>
        </w:rPr>
        <w:t>引领力</w:t>
      </w:r>
      <w:proofErr w:type="gramEnd"/>
      <w:r w:rsidR="00D410B0" w:rsidRPr="000478CB">
        <w:rPr>
          <w:rFonts w:ascii="Times New Roman" w:eastAsia="宋体" w:hAnsi="Times New Roman" w:cs="Times New Roman" w:hint="eastAsia"/>
          <w:sz w:val="24"/>
          <w:szCs w:val="24"/>
        </w:rPr>
        <w:t>和</w:t>
      </w:r>
      <w:r w:rsidRPr="000478CB">
        <w:rPr>
          <w:rFonts w:ascii="Times New Roman" w:eastAsia="宋体" w:hAnsi="Times New Roman" w:cs="Times New Roman" w:hint="eastAsia"/>
          <w:sz w:val="24"/>
          <w:szCs w:val="24"/>
        </w:rPr>
        <w:t>模式</w:t>
      </w:r>
      <w:r w:rsidR="00D410B0" w:rsidRPr="000478CB">
        <w:rPr>
          <w:rFonts w:ascii="Times New Roman" w:eastAsia="宋体" w:hAnsi="Times New Roman" w:cs="Times New Roman" w:hint="eastAsia"/>
          <w:sz w:val="24"/>
          <w:szCs w:val="24"/>
        </w:rPr>
        <w:t>重构力</w:t>
      </w:r>
      <w:r w:rsidRPr="000478CB">
        <w:rPr>
          <w:rFonts w:ascii="Times New Roman" w:eastAsia="宋体" w:hAnsi="Times New Roman" w:cs="Times New Roman" w:hint="eastAsia"/>
          <w:sz w:val="24"/>
          <w:szCs w:val="24"/>
        </w:rPr>
        <w:t>等的</w:t>
      </w:r>
      <w:r w:rsidR="00D410B0" w:rsidRPr="000478CB">
        <w:rPr>
          <w:rFonts w:ascii="Times New Roman" w:eastAsia="宋体" w:hAnsi="Times New Roman" w:cs="Times New Roman" w:hint="eastAsia"/>
          <w:sz w:val="24"/>
          <w:szCs w:val="24"/>
        </w:rPr>
        <w:t>差异</w:t>
      </w:r>
      <w:r w:rsidR="00754D12">
        <w:rPr>
          <w:rFonts w:ascii="Times New Roman" w:eastAsia="宋体" w:hAnsi="Times New Roman" w:cs="Times New Roman" w:hint="eastAsia"/>
          <w:sz w:val="24"/>
          <w:szCs w:val="24"/>
        </w:rPr>
        <w:t>，中美两国的上市公司竞争力与市场认可</w:t>
      </w:r>
      <w:proofErr w:type="gramStart"/>
      <w:r w:rsidR="00754D12">
        <w:rPr>
          <w:rFonts w:ascii="Times New Roman" w:eastAsia="宋体" w:hAnsi="Times New Roman" w:cs="Times New Roman" w:hint="eastAsia"/>
          <w:sz w:val="24"/>
          <w:szCs w:val="24"/>
        </w:rPr>
        <w:t>度存在</w:t>
      </w:r>
      <w:proofErr w:type="gramEnd"/>
      <w:r w:rsidR="00754D12">
        <w:rPr>
          <w:rFonts w:ascii="Times New Roman" w:eastAsia="宋体" w:hAnsi="Times New Roman" w:cs="Times New Roman" w:hint="eastAsia"/>
          <w:sz w:val="24"/>
          <w:szCs w:val="24"/>
        </w:rPr>
        <w:t>一定的分化，</w:t>
      </w:r>
      <w:r w:rsidRPr="000478CB">
        <w:rPr>
          <w:rFonts w:ascii="Times New Roman" w:eastAsia="宋体" w:hAnsi="Times New Roman" w:cs="Times New Roman" w:hint="eastAsia"/>
          <w:sz w:val="24"/>
          <w:szCs w:val="24"/>
        </w:rPr>
        <w:t>中国资本市场对科技创新的支持力度以及与科技创新产业化的融合程度亟待提高。长期资本和耐心资本的提供、对</w:t>
      </w:r>
      <w:r w:rsidR="00871AC2">
        <w:rPr>
          <w:rFonts w:ascii="Times New Roman" w:eastAsia="宋体" w:hAnsi="Times New Roman" w:cs="Times New Roman" w:hint="eastAsia"/>
          <w:sz w:val="24"/>
          <w:szCs w:val="24"/>
        </w:rPr>
        <w:t>技术失败的容忍度以及对风险的适度承担是一个发达资本市场的重要特征</w:t>
      </w:r>
      <w:r w:rsidRPr="000478CB">
        <w:rPr>
          <w:rFonts w:ascii="Times New Roman" w:eastAsia="宋体" w:hAnsi="Times New Roman" w:cs="Times New Roman" w:hint="eastAsia"/>
          <w:sz w:val="24"/>
          <w:szCs w:val="24"/>
        </w:rPr>
        <w:t>，也是科技创新和产业培育的</w:t>
      </w:r>
      <w:r w:rsidR="00F87DE0" w:rsidRPr="000478CB">
        <w:rPr>
          <w:rFonts w:ascii="Times New Roman" w:eastAsia="宋体" w:hAnsi="Times New Roman" w:cs="Times New Roman" w:hint="eastAsia"/>
          <w:sz w:val="24"/>
          <w:szCs w:val="24"/>
        </w:rPr>
        <w:t>必要条件。在中国</w:t>
      </w:r>
      <w:r w:rsidRPr="000478CB">
        <w:rPr>
          <w:rFonts w:ascii="Times New Roman" w:eastAsia="宋体" w:hAnsi="Times New Roman" w:cs="Times New Roman" w:hint="eastAsia"/>
          <w:sz w:val="24"/>
          <w:szCs w:val="24"/>
        </w:rPr>
        <w:t>经济全面转向高质量发展的关键时期，</w:t>
      </w:r>
      <w:r w:rsidRPr="000478CB">
        <w:rPr>
          <w:rFonts w:ascii="Times New Roman" w:eastAsia="宋体" w:hAnsi="Times New Roman" w:cs="Times New Roman"/>
          <w:sz w:val="24"/>
          <w:szCs w:val="24"/>
        </w:rPr>
        <w:t>亟待发挥资本市场在创新驱动</w:t>
      </w:r>
      <w:r w:rsidRPr="000478CB">
        <w:rPr>
          <w:rFonts w:ascii="Times New Roman" w:eastAsia="宋体" w:hAnsi="Times New Roman" w:cs="Times New Roman" w:hint="eastAsia"/>
          <w:sz w:val="24"/>
          <w:szCs w:val="24"/>
        </w:rPr>
        <w:t>发展战略中</w:t>
      </w:r>
      <w:r w:rsidR="00F87DE0" w:rsidRPr="000478CB">
        <w:rPr>
          <w:rFonts w:ascii="Times New Roman" w:eastAsia="宋体" w:hAnsi="Times New Roman" w:cs="Times New Roman" w:hint="eastAsia"/>
          <w:sz w:val="24"/>
          <w:szCs w:val="24"/>
        </w:rPr>
        <w:t>的</w:t>
      </w:r>
      <w:r w:rsidR="00D410B0" w:rsidRPr="000478CB">
        <w:rPr>
          <w:rFonts w:ascii="Times New Roman" w:eastAsia="宋体" w:hAnsi="Times New Roman" w:cs="Times New Roman" w:hint="eastAsia"/>
          <w:sz w:val="24"/>
          <w:szCs w:val="24"/>
        </w:rPr>
        <w:t>枢纽</w:t>
      </w:r>
      <w:r w:rsidR="006221C3">
        <w:rPr>
          <w:rFonts w:ascii="Times New Roman" w:eastAsia="宋体" w:hAnsi="Times New Roman" w:cs="Times New Roman" w:hint="eastAsia"/>
          <w:sz w:val="24"/>
          <w:szCs w:val="24"/>
        </w:rPr>
        <w:t>作用</w:t>
      </w:r>
      <w:r w:rsidRPr="000478CB">
        <w:rPr>
          <w:rFonts w:ascii="Times New Roman" w:eastAsia="宋体" w:hAnsi="Times New Roman" w:cs="Times New Roman" w:hint="eastAsia"/>
          <w:sz w:val="24"/>
          <w:szCs w:val="24"/>
        </w:rPr>
        <w:t>。</w:t>
      </w:r>
    </w:p>
    <w:p w14:paraId="40998EA8" w14:textId="39AF6435" w:rsidR="00F304F4" w:rsidRPr="00C861A3" w:rsidRDefault="00F304F4" w:rsidP="00AF0AF5">
      <w:pPr>
        <w:adjustRightInd w:val="0"/>
        <w:snapToGrid w:val="0"/>
        <w:spacing w:before="100" w:beforeAutospacing="1" w:after="100" w:afterAutospacing="1" w:line="360" w:lineRule="auto"/>
        <w:ind w:firstLineChars="200" w:firstLine="480"/>
        <w:contextualSpacing/>
        <w:jc w:val="center"/>
        <w:rPr>
          <w:rFonts w:ascii="Times New Roman" w:eastAsia="宋体" w:hAnsi="Times New Roman" w:cs="Times New Roman"/>
          <w:sz w:val="24"/>
          <w:szCs w:val="24"/>
        </w:rPr>
      </w:pPr>
      <w:r w:rsidRPr="00C861A3">
        <w:rPr>
          <w:rFonts w:ascii="Times New Roman" w:eastAsia="宋体" w:hAnsi="Times New Roman" w:cs="Times New Roman" w:hint="eastAsia"/>
          <w:sz w:val="24"/>
          <w:szCs w:val="24"/>
        </w:rPr>
        <w:t>表</w:t>
      </w:r>
      <w:r w:rsidR="00604C59" w:rsidRPr="00C861A3">
        <w:rPr>
          <w:rFonts w:ascii="Times New Roman" w:eastAsia="宋体" w:hAnsi="Times New Roman" w:cs="Times New Roman" w:hint="eastAsia"/>
          <w:sz w:val="24"/>
          <w:szCs w:val="24"/>
        </w:rPr>
        <w:t>1</w:t>
      </w:r>
      <w:r w:rsidRPr="00C861A3">
        <w:rPr>
          <w:rFonts w:ascii="Times New Roman" w:eastAsia="宋体" w:hAnsi="Times New Roman" w:cs="Times New Roman" w:hint="eastAsia"/>
          <w:sz w:val="24"/>
          <w:szCs w:val="24"/>
        </w:rPr>
        <w:t xml:space="preserve"> 2024</w:t>
      </w:r>
      <w:r w:rsidRPr="00C861A3">
        <w:rPr>
          <w:rFonts w:ascii="Times New Roman" w:eastAsia="宋体" w:hAnsi="Times New Roman" w:cs="Times New Roman" w:hint="eastAsia"/>
          <w:sz w:val="24"/>
          <w:szCs w:val="24"/>
        </w:rPr>
        <w:t>年末中美前</w:t>
      </w:r>
      <w:r w:rsidRPr="00C861A3">
        <w:rPr>
          <w:rFonts w:ascii="Times New Roman" w:eastAsia="宋体" w:hAnsi="Times New Roman" w:cs="Times New Roman" w:hint="eastAsia"/>
          <w:sz w:val="24"/>
          <w:szCs w:val="24"/>
        </w:rPr>
        <w:t>10</w:t>
      </w:r>
      <w:r w:rsidRPr="00C861A3">
        <w:rPr>
          <w:rFonts w:ascii="Times New Roman" w:eastAsia="宋体" w:hAnsi="Times New Roman" w:cs="Times New Roman" w:hint="eastAsia"/>
          <w:sz w:val="24"/>
          <w:szCs w:val="24"/>
        </w:rPr>
        <w:t>大市值公司比较</w:t>
      </w:r>
    </w:p>
    <w:tbl>
      <w:tblPr>
        <w:tblW w:w="8946"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82"/>
        <w:gridCol w:w="1134"/>
        <w:gridCol w:w="1134"/>
        <w:gridCol w:w="2127"/>
        <w:gridCol w:w="872"/>
        <w:gridCol w:w="1112"/>
        <w:gridCol w:w="1985"/>
      </w:tblGrid>
      <w:tr w:rsidR="00F304F4" w:rsidRPr="000D4DAB" w14:paraId="069D0A51" w14:textId="77777777" w:rsidTr="003D2AA5">
        <w:trPr>
          <w:trHeight w:val="288"/>
          <w:jc w:val="center"/>
        </w:trPr>
        <w:tc>
          <w:tcPr>
            <w:tcW w:w="582" w:type="dxa"/>
            <w:shd w:val="clear" w:color="auto" w:fill="auto"/>
            <w:noWrap/>
            <w:vAlign w:val="bottom"/>
            <w:hideMark/>
          </w:tcPr>
          <w:p w14:paraId="5E02A137"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p>
        </w:tc>
        <w:tc>
          <w:tcPr>
            <w:tcW w:w="1134" w:type="dxa"/>
            <w:shd w:val="clear" w:color="auto" w:fill="auto"/>
            <w:noWrap/>
            <w:vAlign w:val="bottom"/>
            <w:hideMark/>
          </w:tcPr>
          <w:p w14:paraId="25EFA12F"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公司</w:t>
            </w:r>
          </w:p>
        </w:tc>
        <w:tc>
          <w:tcPr>
            <w:tcW w:w="1134" w:type="dxa"/>
            <w:shd w:val="clear" w:color="auto" w:fill="auto"/>
            <w:noWrap/>
            <w:vAlign w:val="bottom"/>
            <w:hideMark/>
          </w:tcPr>
          <w:p w14:paraId="7507589F"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行业</w:t>
            </w:r>
          </w:p>
        </w:tc>
        <w:tc>
          <w:tcPr>
            <w:tcW w:w="2127" w:type="dxa"/>
            <w:shd w:val="clear" w:color="auto" w:fill="auto"/>
            <w:noWrap/>
            <w:vAlign w:val="bottom"/>
            <w:hideMark/>
          </w:tcPr>
          <w:p w14:paraId="35DFAFB8" w14:textId="367DA5D0"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市值（亿元</w:t>
            </w:r>
            <w:r w:rsidR="0089084B" w:rsidRPr="000D4DAB">
              <w:rPr>
                <w:rFonts w:ascii="Times New Roman" w:eastAsia="宋体" w:hAnsi="Times New Roman" w:cs="Times New Roman"/>
                <w:color w:val="000000"/>
                <w:kern w:val="0"/>
                <w:szCs w:val="21"/>
              </w:rPr>
              <w:t>人民币</w:t>
            </w:r>
            <w:r w:rsidRPr="000D4DAB">
              <w:rPr>
                <w:rFonts w:ascii="Times New Roman" w:eastAsia="宋体" w:hAnsi="Times New Roman" w:cs="Times New Roman"/>
                <w:color w:val="000000"/>
                <w:kern w:val="0"/>
                <w:szCs w:val="21"/>
              </w:rPr>
              <w:t>）</w:t>
            </w:r>
          </w:p>
        </w:tc>
        <w:tc>
          <w:tcPr>
            <w:tcW w:w="872" w:type="dxa"/>
            <w:shd w:val="clear" w:color="auto" w:fill="auto"/>
            <w:noWrap/>
            <w:vAlign w:val="bottom"/>
            <w:hideMark/>
          </w:tcPr>
          <w:p w14:paraId="6164E528"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公司</w:t>
            </w:r>
          </w:p>
        </w:tc>
        <w:tc>
          <w:tcPr>
            <w:tcW w:w="1112" w:type="dxa"/>
            <w:shd w:val="clear" w:color="auto" w:fill="auto"/>
            <w:noWrap/>
            <w:vAlign w:val="bottom"/>
            <w:hideMark/>
          </w:tcPr>
          <w:p w14:paraId="76B81C06"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行业</w:t>
            </w:r>
          </w:p>
        </w:tc>
        <w:tc>
          <w:tcPr>
            <w:tcW w:w="1985" w:type="dxa"/>
            <w:shd w:val="clear" w:color="auto" w:fill="auto"/>
            <w:noWrap/>
            <w:vAlign w:val="bottom"/>
            <w:hideMark/>
          </w:tcPr>
          <w:p w14:paraId="101812FC" w14:textId="76DDCFE6"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市值（亿元</w:t>
            </w:r>
            <w:r w:rsidR="0089084B" w:rsidRPr="000D4DAB">
              <w:rPr>
                <w:rFonts w:ascii="Times New Roman" w:eastAsia="宋体" w:hAnsi="Times New Roman" w:cs="Times New Roman"/>
                <w:color w:val="000000"/>
                <w:kern w:val="0"/>
                <w:szCs w:val="21"/>
              </w:rPr>
              <w:t>人民币</w:t>
            </w:r>
            <w:r w:rsidRPr="000D4DAB">
              <w:rPr>
                <w:rFonts w:ascii="Times New Roman" w:eastAsia="宋体" w:hAnsi="Times New Roman" w:cs="Times New Roman"/>
                <w:color w:val="000000"/>
                <w:kern w:val="0"/>
                <w:szCs w:val="21"/>
              </w:rPr>
              <w:t>）</w:t>
            </w:r>
          </w:p>
        </w:tc>
      </w:tr>
      <w:tr w:rsidR="00F304F4" w:rsidRPr="000D4DAB" w14:paraId="71BAC820" w14:textId="77777777" w:rsidTr="003D2AA5">
        <w:trPr>
          <w:trHeight w:val="288"/>
          <w:jc w:val="center"/>
        </w:trPr>
        <w:tc>
          <w:tcPr>
            <w:tcW w:w="582" w:type="dxa"/>
            <w:shd w:val="clear" w:color="auto" w:fill="auto"/>
            <w:noWrap/>
            <w:vAlign w:val="bottom"/>
            <w:hideMark/>
          </w:tcPr>
          <w:p w14:paraId="51A184D0"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1</w:t>
            </w:r>
          </w:p>
        </w:tc>
        <w:tc>
          <w:tcPr>
            <w:tcW w:w="1134" w:type="dxa"/>
            <w:shd w:val="clear" w:color="auto" w:fill="auto"/>
            <w:noWrap/>
            <w:vAlign w:val="bottom"/>
            <w:hideMark/>
          </w:tcPr>
          <w:p w14:paraId="3C711307"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中国移动</w:t>
            </w:r>
          </w:p>
        </w:tc>
        <w:tc>
          <w:tcPr>
            <w:tcW w:w="1134" w:type="dxa"/>
            <w:shd w:val="clear" w:color="auto" w:fill="auto"/>
            <w:noWrap/>
            <w:vAlign w:val="bottom"/>
            <w:hideMark/>
          </w:tcPr>
          <w:p w14:paraId="58F3C9DC"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通讯服务</w:t>
            </w:r>
          </w:p>
        </w:tc>
        <w:tc>
          <w:tcPr>
            <w:tcW w:w="2127" w:type="dxa"/>
            <w:shd w:val="clear" w:color="auto" w:fill="auto"/>
            <w:noWrap/>
            <w:vAlign w:val="bottom"/>
            <w:hideMark/>
          </w:tcPr>
          <w:p w14:paraId="1B93E05B"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25417</w:t>
            </w:r>
          </w:p>
        </w:tc>
        <w:tc>
          <w:tcPr>
            <w:tcW w:w="872" w:type="dxa"/>
            <w:shd w:val="clear" w:color="auto" w:fill="auto"/>
            <w:noWrap/>
            <w:vAlign w:val="bottom"/>
            <w:hideMark/>
          </w:tcPr>
          <w:p w14:paraId="1312B7F6"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苹果</w:t>
            </w:r>
          </w:p>
        </w:tc>
        <w:tc>
          <w:tcPr>
            <w:tcW w:w="1112" w:type="dxa"/>
            <w:shd w:val="clear" w:color="auto" w:fill="auto"/>
            <w:noWrap/>
            <w:vAlign w:val="bottom"/>
            <w:hideMark/>
          </w:tcPr>
          <w:p w14:paraId="502814FC"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信息技术</w:t>
            </w:r>
          </w:p>
        </w:tc>
        <w:tc>
          <w:tcPr>
            <w:tcW w:w="1985" w:type="dxa"/>
            <w:shd w:val="clear" w:color="auto" w:fill="auto"/>
            <w:noWrap/>
            <w:vAlign w:val="bottom"/>
            <w:hideMark/>
          </w:tcPr>
          <w:p w14:paraId="2CB9DF5D"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272103</w:t>
            </w:r>
          </w:p>
        </w:tc>
      </w:tr>
      <w:tr w:rsidR="00F304F4" w:rsidRPr="000D4DAB" w14:paraId="5F06992E" w14:textId="77777777" w:rsidTr="003D2AA5">
        <w:trPr>
          <w:trHeight w:val="288"/>
          <w:jc w:val="center"/>
        </w:trPr>
        <w:tc>
          <w:tcPr>
            <w:tcW w:w="582" w:type="dxa"/>
            <w:shd w:val="clear" w:color="auto" w:fill="auto"/>
            <w:noWrap/>
            <w:vAlign w:val="bottom"/>
            <w:hideMark/>
          </w:tcPr>
          <w:p w14:paraId="259C6F8F"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2</w:t>
            </w:r>
          </w:p>
        </w:tc>
        <w:tc>
          <w:tcPr>
            <w:tcW w:w="1134" w:type="dxa"/>
            <w:shd w:val="clear" w:color="auto" w:fill="auto"/>
            <w:noWrap/>
            <w:vAlign w:val="bottom"/>
            <w:hideMark/>
          </w:tcPr>
          <w:p w14:paraId="7D70850E"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工商银行</w:t>
            </w:r>
          </w:p>
        </w:tc>
        <w:tc>
          <w:tcPr>
            <w:tcW w:w="1134" w:type="dxa"/>
            <w:shd w:val="clear" w:color="auto" w:fill="auto"/>
            <w:noWrap/>
            <w:vAlign w:val="bottom"/>
            <w:hideMark/>
          </w:tcPr>
          <w:p w14:paraId="60AD6E8F"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金融</w:t>
            </w:r>
          </w:p>
        </w:tc>
        <w:tc>
          <w:tcPr>
            <w:tcW w:w="2127" w:type="dxa"/>
            <w:shd w:val="clear" w:color="auto" w:fill="auto"/>
            <w:noWrap/>
            <w:vAlign w:val="bottom"/>
            <w:hideMark/>
          </w:tcPr>
          <w:p w14:paraId="7877432E"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24663</w:t>
            </w:r>
          </w:p>
        </w:tc>
        <w:tc>
          <w:tcPr>
            <w:tcW w:w="872" w:type="dxa"/>
            <w:shd w:val="clear" w:color="auto" w:fill="auto"/>
            <w:noWrap/>
            <w:vAlign w:val="bottom"/>
            <w:hideMark/>
          </w:tcPr>
          <w:p w14:paraId="125936BF"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proofErr w:type="gramStart"/>
            <w:r w:rsidRPr="000D4DAB">
              <w:rPr>
                <w:rFonts w:ascii="Times New Roman" w:eastAsia="宋体" w:hAnsi="Times New Roman" w:cs="Times New Roman"/>
                <w:color w:val="000000"/>
                <w:kern w:val="0"/>
                <w:szCs w:val="21"/>
              </w:rPr>
              <w:t>英伟达</w:t>
            </w:r>
            <w:proofErr w:type="gramEnd"/>
          </w:p>
        </w:tc>
        <w:tc>
          <w:tcPr>
            <w:tcW w:w="1112" w:type="dxa"/>
            <w:shd w:val="clear" w:color="auto" w:fill="auto"/>
            <w:noWrap/>
            <w:vAlign w:val="bottom"/>
            <w:hideMark/>
          </w:tcPr>
          <w:p w14:paraId="0395FA9B"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信息技术</w:t>
            </w:r>
          </w:p>
        </w:tc>
        <w:tc>
          <w:tcPr>
            <w:tcW w:w="1985" w:type="dxa"/>
            <w:shd w:val="clear" w:color="auto" w:fill="auto"/>
            <w:noWrap/>
            <w:vAlign w:val="bottom"/>
            <w:hideMark/>
          </w:tcPr>
          <w:p w14:paraId="2BBBCF25"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236409</w:t>
            </w:r>
          </w:p>
        </w:tc>
      </w:tr>
      <w:tr w:rsidR="00F304F4" w:rsidRPr="000D4DAB" w14:paraId="07ABFE4E" w14:textId="77777777" w:rsidTr="003D2AA5">
        <w:trPr>
          <w:trHeight w:val="288"/>
          <w:jc w:val="center"/>
        </w:trPr>
        <w:tc>
          <w:tcPr>
            <w:tcW w:w="582" w:type="dxa"/>
            <w:shd w:val="clear" w:color="auto" w:fill="auto"/>
            <w:noWrap/>
            <w:vAlign w:val="bottom"/>
            <w:hideMark/>
          </w:tcPr>
          <w:p w14:paraId="1B2F5247"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3</w:t>
            </w:r>
          </w:p>
        </w:tc>
        <w:tc>
          <w:tcPr>
            <w:tcW w:w="1134" w:type="dxa"/>
            <w:shd w:val="clear" w:color="auto" w:fill="auto"/>
            <w:noWrap/>
            <w:vAlign w:val="bottom"/>
            <w:hideMark/>
          </w:tcPr>
          <w:p w14:paraId="01743C19"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建设银行</w:t>
            </w:r>
          </w:p>
        </w:tc>
        <w:tc>
          <w:tcPr>
            <w:tcW w:w="1134" w:type="dxa"/>
            <w:shd w:val="clear" w:color="auto" w:fill="auto"/>
            <w:noWrap/>
            <w:vAlign w:val="bottom"/>
            <w:hideMark/>
          </w:tcPr>
          <w:p w14:paraId="63323770"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金融</w:t>
            </w:r>
          </w:p>
        </w:tc>
        <w:tc>
          <w:tcPr>
            <w:tcW w:w="2127" w:type="dxa"/>
            <w:shd w:val="clear" w:color="auto" w:fill="auto"/>
            <w:noWrap/>
            <w:vAlign w:val="bottom"/>
            <w:hideMark/>
          </w:tcPr>
          <w:p w14:paraId="1885B1E9"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21976</w:t>
            </w:r>
          </w:p>
        </w:tc>
        <w:tc>
          <w:tcPr>
            <w:tcW w:w="872" w:type="dxa"/>
            <w:shd w:val="clear" w:color="auto" w:fill="auto"/>
            <w:noWrap/>
            <w:vAlign w:val="bottom"/>
            <w:hideMark/>
          </w:tcPr>
          <w:p w14:paraId="5C06FE00"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微软</w:t>
            </w:r>
          </w:p>
        </w:tc>
        <w:tc>
          <w:tcPr>
            <w:tcW w:w="1112" w:type="dxa"/>
            <w:shd w:val="clear" w:color="auto" w:fill="auto"/>
            <w:noWrap/>
            <w:vAlign w:val="bottom"/>
            <w:hideMark/>
          </w:tcPr>
          <w:p w14:paraId="134B3559"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信息技术</w:t>
            </w:r>
          </w:p>
        </w:tc>
        <w:tc>
          <w:tcPr>
            <w:tcW w:w="1985" w:type="dxa"/>
            <w:shd w:val="clear" w:color="auto" w:fill="auto"/>
            <w:noWrap/>
            <w:vAlign w:val="bottom"/>
            <w:hideMark/>
          </w:tcPr>
          <w:p w14:paraId="474A47A9"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225270</w:t>
            </w:r>
          </w:p>
        </w:tc>
      </w:tr>
      <w:tr w:rsidR="00F304F4" w:rsidRPr="000D4DAB" w14:paraId="0F2BA1AD" w14:textId="77777777" w:rsidTr="003D2AA5">
        <w:trPr>
          <w:trHeight w:val="288"/>
          <w:jc w:val="center"/>
        </w:trPr>
        <w:tc>
          <w:tcPr>
            <w:tcW w:w="582" w:type="dxa"/>
            <w:shd w:val="clear" w:color="auto" w:fill="auto"/>
            <w:noWrap/>
            <w:vAlign w:val="bottom"/>
            <w:hideMark/>
          </w:tcPr>
          <w:p w14:paraId="6C47BCFE"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4</w:t>
            </w:r>
          </w:p>
        </w:tc>
        <w:tc>
          <w:tcPr>
            <w:tcW w:w="1134" w:type="dxa"/>
            <w:shd w:val="clear" w:color="auto" w:fill="auto"/>
            <w:noWrap/>
            <w:vAlign w:val="bottom"/>
            <w:hideMark/>
          </w:tcPr>
          <w:p w14:paraId="172A4121"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贵州茅台</w:t>
            </w:r>
          </w:p>
        </w:tc>
        <w:tc>
          <w:tcPr>
            <w:tcW w:w="1134" w:type="dxa"/>
            <w:shd w:val="clear" w:color="auto" w:fill="auto"/>
            <w:noWrap/>
            <w:vAlign w:val="bottom"/>
            <w:hideMark/>
          </w:tcPr>
          <w:p w14:paraId="4B115532"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日常消费</w:t>
            </w:r>
          </w:p>
        </w:tc>
        <w:tc>
          <w:tcPr>
            <w:tcW w:w="2127" w:type="dxa"/>
            <w:shd w:val="clear" w:color="auto" w:fill="auto"/>
            <w:noWrap/>
            <w:vAlign w:val="bottom"/>
            <w:hideMark/>
          </w:tcPr>
          <w:p w14:paraId="72FE4091"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19144</w:t>
            </w:r>
          </w:p>
        </w:tc>
        <w:tc>
          <w:tcPr>
            <w:tcW w:w="872" w:type="dxa"/>
            <w:shd w:val="clear" w:color="auto" w:fill="auto"/>
            <w:noWrap/>
            <w:vAlign w:val="bottom"/>
            <w:hideMark/>
          </w:tcPr>
          <w:p w14:paraId="1EFFFFFA"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proofErr w:type="gramStart"/>
            <w:r w:rsidRPr="000D4DAB">
              <w:rPr>
                <w:rFonts w:ascii="Times New Roman" w:eastAsia="宋体" w:hAnsi="Times New Roman" w:cs="Times New Roman"/>
                <w:color w:val="000000"/>
                <w:kern w:val="0"/>
                <w:szCs w:val="21"/>
              </w:rPr>
              <w:t>谷歌</w:t>
            </w:r>
            <w:proofErr w:type="gramEnd"/>
          </w:p>
        </w:tc>
        <w:tc>
          <w:tcPr>
            <w:tcW w:w="1112" w:type="dxa"/>
            <w:shd w:val="clear" w:color="auto" w:fill="auto"/>
            <w:noWrap/>
            <w:vAlign w:val="bottom"/>
            <w:hideMark/>
          </w:tcPr>
          <w:p w14:paraId="5E0BD2B0"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通讯服务</w:t>
            </w:r>
          </w:p>
        </w:tc>
        <w:tc>
          <w:tcPr>
            <w:tcW w:w="1985" w:type="dxa"/>
            <w:shd w:val="clear" w:color="auto" w:fill="auto"/>
            <w:noWrap/>
            <w:vAlign w:val="bottom"/>
            <w:hideMark/>
          </w:tcPr>
          <w:p w14:paraId="069EA4F9"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167574</w:t>
            </w:r>
          </w:p>
        </w:tc>
      </w:tr>
      <w:tr w:rsidR="00F304F4" w:rsidRPr="000D4DAB" w14:paraId="62EAAB73" w14:textId="77777777" w:rsidTr="003D2AA5">
        <w:trPr>
          <w:trHeight w:val="288"/>
          <w:jc w:val="center"/>
        </w:trPr>
        <w:tc>
          <w:tcPr>
            <w:tcW w:w="582" w:type="dxa"/>
            <w:shd w:val="clear" w:color="auto" w:fill="auto"/>
            <w:noWrap/>
            <w:vAlign w:val="bottom"/>
            <w:hideMark/>
          </w:tcPr>
          <w:p w14:paraId="17E62CB0"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5</w:t>
            </w:r>
          </w:p>
        </w:tc>
        <w:tc>
          <w:tcPr>
            <w:tcW w:w="1134" w:type="dxa"/>
            <w:shd w:val="clear" w:color="auto" w:fill="auto"/>
            <w:noWrap/>
            <w:vAlign w:val="bottom"/>
            <w:hideMark/>
          </w:tcPr>
          <w:p w14:paraId="744D104F"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农业银行</w:t>
            </w:r>
          </w:p>
        </w:tc>
        <w:tc>
          <w:tcPr>
            <w:tcW w:w="1134" w:type="dxa"/>
            <w:shd w:val="clear" w:color="auto" w:fill="auto"/>
            <w:noWrap/>
            <w:vAlign w:val="bottom"/>
            <w:hideMark/>
          </w:tcPr>
          <w:p w14:paraId="4B77A5A1"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金融</w:t>
            </w:r>
          </w:p>
        </w:tc>
        <w:tc>
          <w:tcPr>
            <w:tcW w:w="2127" w:type="dxa"/>
            <w:shd w:val="clear" w:color="auto" w:fill="auto"/>
            <w:noWrap/>
            <w:vAlign w:val="bottom"/>
            <w:hideMark/>
          </w:tcPr>
          <w:p w14:paraId="4819DFCA"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18689</w:t>
            </w:r>
          </w:p>
        </w:tc>
        <w:tc>
          <w:tcPr>
            <w:tcW w:w="872" w:type="dxa"/>
            <w:shd w:val="clear" w:color="auto" w:fill="auto"/>
            <w:noWrap/>
            <w:vAlign w:val="bottom"/>
            <w:hideMark/>
          </w:tcPr>
          <w:p w14:paraId="23AB1B1B"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亚马逊</w:t>
            </w:r>
          </w:p>
        </w:tc>
        <w:tc>
          <w:tcPr>
            <w:tcW w:w="1112" w:type="dxa"/>
            <w:shd w:val="clear" w:color="auto" w:fill="auto"/>
            <w:noWrap/>
            <w:vAlign w:val="bottom"/>
            <w:hideMark/>
          </w:tcPr>
          <w:p w14:paraId="763BA2A9"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可选消费</w:t>
            </w:r>
          </w:p>
        </w:tc>
        <w:tc>
          <w:tcPr>
            <w:tcW w:w="1985" w:type="dxa"/>
            <w:shd w:val="clear" w:color="auto" w:fill="auto"/>
            <w:noWrap/>
            <w:vAlign w:val="bottom"/>
            <w:hideMark/>
          </w:tcPr>
          <w:p w14:paraId="68DC3503"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165828</w:t>
            </w:r>
          </w:p>
        </w:tc>
      </w:tr>
      <w:tr w:rsidR="00F304F4" w:rsidRPr="000D4DAB" w14:paraId="34068373" w14:textId="77777777" w:rsidTr="003D2AA5">
        <w:trPr>
          <w:trHeight w:val="288"/>
          <w:jc w:val="center"/>
        </w:trPr>
        <w:tc>
          <w:tcPr>
            <w:tcW w:w="582" w:type="dxa"/>
            <w:shd w:val="clear" w:color="auto" w:fill="auto"/>
            <w:noWrap/>
            <w:vAlign w:val="bottom"/>
            <w:hideMark/>
          </w:tcPr>
          <w:p w14:paraId="5FC0422D"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6</w:t>
            </w:r>
          </w:p>
        </w:tc>
        <w:tc>
          <w:tcPr>
            <w:tcW w:w="1134" w:type="dxa"/>
            <w:shd w:val="clear" w:color="auto" w:fill="auto"/>
            <w:noWrap/>
            <w:vAlign w:val="bottom"/>
            <w:hideMark/>
          </w:tcPr>
          <w:p w14:paraId="6DB7ABA9"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中国石油</w:t>
            </w:r>
          </w:p>
        </w:tc>
        <w:tc>
          <w:tcPr>
            <w:tcW w:w="1134" w:type="dxa"/>
            <w:shd w:val="clear" w:color="auto" w:fill="auto"/>
            <w:noWrap/>
            <w:vAlign w:val="bottom"/>
            <w:hideMark/>
          </w:tcPr>
          <w:p w14:paraId="3A416124"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能源</w:t>
            </w:r>
          </w:p>
        </w:tc>
        <w:tc>
          <w:tcPr>
            <w:tcW w:w="2127" w:type="dxa"/>
            <w:shd w:val="clear" w:color="auto" w:fill="auto"/>
            <w:noWrap/>
            <w:vAlign w:val="bottom"/>
            <w:hideMark/>
          </w:tcPr>
          <w:p w14:paraId="79386762"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16362</w:t>
            </w:r>
          </w:p>
        </w:tc>
        <w:tc>
          <w:tcPr>
            <w:tcW w:w="872" w:type="dxa"/>
            <w:shd w:val="clear" w:color="auto" w:fill="auto"/>
            <w:noWrap/>
            <w:vAlign w:val="bottom"/>
            <w:hideMark/>
          </w:tcPr>
          <w:p w14:paraId="03E31B7B"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proofErr w:type="gramStart"/>
            <w:r w:rsidRPr="000D4DAB">
              <w:rPr>
                <w:rFonts w:ascii="Times New Roman" w:eastAsia="宋体" w:hAnsi="Times New Roman" w:cs="Times New Roman"/>
                <w:color w:val="000000"/>
                <w:kern w:val="0"/>
                <w:szCs w:val="21"/>
              </w:rPr>
              <w:t>脸书</w:t>
            </w:r>
            <w:proofErr w:type="gramEnd"/>
          </w:p>
        </w:tc>
        <w:tc>
          <w:tcPr>
            <w:tcW w:w="1112" w:type="dxa"/>
            <w:shd w:val="clear" w:color="auto" w:fill="auto"/>
            <w:noWrap/>
            <w:vAlign w:val="bottom"/>
            <w:hideMark/>
          </w:tcPr>
          <w:p w14:paraId="3AA20158"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通讯服务</w:t>
            </w:r>
          </w:p>
        </w:tc>
        <w:tc>
          <w:tcPr>
            <w:tcW w:w="1985" w:type="dxa"/>
            <w:shd w:val="clear" w:color="auto" w:fill="auto"/>
            <w:noWrap/>
            <w:vAlign w:val="bottom"/>
            <w:hideMark/>
          </w:tcPr>
          <w:p w14:paraId="741A67A1"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106253</w:t>
            </w:r>
          </w:p>
        </w:tc>
      </w:tr>
      <w:tr w:rsidR="00F304F4" w:rsidRPr="000D4DAB" w14:paraId="7EB3E5E6" w14:textId="77777777" w:rsidTr="003D2AA5">
        <w:trPr>
          <w:trHeight w:val="288"/>
          <w:jc w:val="center"/>
        </w:trPr>
        <w:tc>
          <w:tcPr>
            <w:tcW w:w="582" w:type="dxa"/>
            <w:shd w:val="clear" w:color="auto" w:fill="auto"/>
            <w:noWrap/>
            <w:vAlign w:val="bottom"/>
            <w:hideMark/>
          </w:tcPr>
          <w:p w14:paraId="78EDA545"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7</w:t>
            </w:r>
          </w:p>
        </w:tc>
        <w:tc>
          <w:tcPr>
            <w:tcW w:w="1134" w:type="dxa"/>
            <w:shd w:val="clear" w:color="auto" w:fill="auto"/>
            <w:noWrap/>
            <w:vAlign w:val="bottom"/>
            <w:hideMark/>
          </w:tcPr>
          <w:p w14:paraId="4FEA47BE"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中国银行</w:t>
            </w:r>
          </w:p>
        </w:tc>
        <w:tc>
          <w:tcPr>
            <w:tcW w:w="1134" w:type="dxa"/>
            <w:shd w:val="clear" w:color="auto" w:fill="auto"/>
            <w:noWrap/>
            <w:vAlign w:val="bottom"/>
            <w:hideMark/>
          </w:tcPr>
          <w:p w14:paraId="69CF31A4"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金融</w:t>
            </w:r>
          </w:p>
        </w:tc>
        <w:tc>
          <w:tcPr>
            <w:tcW w:w="2127" w:type="dxa"/>
            <w:shd w:val="clear" w:color="auto" w:fill="auto"/>
            <w:noWrap/>
            <w:vAlign w:val="bottom"/>
            <w:hideMark/>
          </w:tcPr>
          <w:p w14:paraId="4CB056D1"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16221</w:t>
            </w:r>
          </w:p>
        </w:tc>
        <w:tc>
          <w:tcPr>
            <w:tcW w:w="872" w:type="dxa"/>
            <w:shd w:val="clear" w:color="auto" w:fill="auto"/>
            <w:noWrap/>
            <w:vAlign w:val="bottom"/>
            <w:hideMark/>
          </w:tcPr>
          <w:p w14:paraId="23FF5B88"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特斯拉</w:t>
            </w:r>
          </w:p>
        </w:tc>
        <w:tc>
          <w:tcPr>
            <w:tcW w:w="1112" w:type="dxa"/>
            <w:shd w:val="clear" w:color="auto" w:fill="auto"/>
            <w:noWrap/>
            <w:vAlign w:val="bottom"/>
            <w:hideMark/>
          </w:tcPr>
          <w:p w14:paraId="16672E73"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可选消费</w:t>
            </w:r>
          </w:p>
        </w:tc>
        <w:tc>
          <w:tcPr>
            <w:tcW w:w="1985" w:type="dxa"/>
            <w:shd w:val="clear" w:color="auto" w:fill="auto"/>
            <w:noWrap/>
            <w:vAlign w:val="bottom"/>
            <w:hideMark/>
          </w:tcPr>
          <w:p w14:paraId="0F6DB48B"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93187</w:t>
            </w:r>
          </w:p>
        </w:tc>
      </w:tr>
      <w:tr w:rsidR="00F304F4" w:rsidRPr="000D4DAB" w14:paraId="65D9B5C2" w14:textId="77777777" w:rsidTr="003D2AA5">
        <w:trPr>
          <w:trHeight w:val="288"/>
          <w:jc w:val="center"/>
        </w:trPr>
        <w:tc>
          <w:tcPr>
            <w:tcW w:w="582" w:type="dxa"/>
            <w:shd w:val="clear" w:color="auto" w:fill="auto"/>
            <w:noWrap/>
            <w:vAlign w:val="bottom"/>
            <w:hideMark/>
          </w:tcPr>
          <w:p w14:paraId="5687AB9A"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8</w:t>
            </w:r>
          </w:p>
        </w:tc>
        <w:tc>
          <w:tcPr>
            <w:tcW w:w="1134" w:type="dxa"/>
            <w:shd w:val="clear" w:color="auto" w:fill="auto"/>
            <w:noWrap/>
            <w:vAlign w:val="bottom"/>
            <w:hideMark/>
          </w:tcPr>
          <w:p w14:paraId="2DCF274F"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中国海油</w:t>
            </w:r>
          </w:p>
        </w:tc>
        <w:tc>
          <w:tcPr>
            <w:tcW w:w="1134" w:type="dxa"/>
            <w:shd w:val="clear" w:color="auto" w:fill="auto"/>
            <w:noWrap/>
            <w:vAlign w:val="bottom"/>
            <w:hideMark/>
          </w:tcPr>
          <w:p w14:paraId="7F23DEE8"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能源</w:t>
            </w:r>
          </w:p>
        </w:tc>
        <w:tc>
          <w:tcPr>
            <w:tcW w:w="2127" w:type="dxa"/>
            <w:shd w:val="clear" w:color="auto" w:fill="auto"/>
            <w:noWrap/>
            <w:vAlign w:val="bottom"/>
            <w:hideMark/>
          </w:tcPr>
          <w:p w14:paraId="1E2B68FD"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14026</w:t>
            </w:r>
          </w:p>
        </w:tc>
        <w:tc>
          <w:tcPr>
            <w:tcW w:w="872" w:type="dxa"/>
            <w:shd w:val="clear" w:color="auto" w:fill="auto"/>
            <w:noWrap/>
            <w:vAlign w:val="bottom"/>
            <w:hideMark/>
          </w:tcPr>
          <w:p w14:paraId="02676B62"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博通</w:t>
            </w:r>
          </w:p>
        </w:tc>
        <w:tc>
          <w:tcPr>
            <w:tcW w:w="1112" w:type="dxa"/>
            <w:shd w:val="clear" w:color="auto" w:fill="auto"/>
            <w:noWrap/>
            <w:vAlign w:val="bottom"/>
            <w:hideMark/>
          </w:tcPr>
          <w:p w14:paraId="548F4E4A"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信息技术</w:t>
            </w:r>
          </w:p>
        </w:tc>
        <w:tc>
          <w:tcPr>
            <w:tcW w:w="1985" w:type="dxa"/>
            <w:shd w:val="clear" w:color="auto" w:fill="auto"/>
            <w:noWrap/>
            <w:vAlign w:val="bottom"/>
            <w:hideMark/>
          </w:tcPr>
          <w:p w14:paraId="18BB55DD"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78118</w:t>
            </w:r>
          </w:p>
        </w:tc>
      </w:tr>
      <w:tr w:rsidR="00F304F4" w:rsidRPr="000D4DAB" w14:paraId="0B1EBB41" w14:textId="77777777" w:rsidTr="003D2AA5">
        <w:trPr>
          <w:trHeight w:val="288"/>
          <w:jc w:val="center"/>
        </w:trPr>
        <w:tc>
          <w:tcPr>
            <w:tcW w:w="582" w:type="dxa"/>
            <w:shd w:val="clear" w:color="auto" w:fill="auto"/>
            <w:noWrap/>
            <w:vAlign w:val="bottom"/>
            <w:hideMark/>
          </w:tcPr>
          <w:p w14:paraId="6C1EAF56"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9</w:t>
            </w:r>
          </w:p>
        </w:tc>
        <w:tc>
          <w:tcPr>
            <w:tcW w:w="1134" w:type="dxa"/>
            <w:shd w:val="clear" w:color="auto" w:fill="auto"/>
            <w:noWrap/>
            <w:vAlign w:val="bottom"/>
            <w:hideMark/>
          </w:tcPr>
          <w:p w14:paraId="70396A9A"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中国人寿</w:t>
            </w:r>
          </w:p>
        </w:tc>
        <w:tc>
          <w:tcPr>
            <w:tcW w:w="1134" w:type="dxa"/>
            <w:shd w:val="clear" w:color="auto" w:fill="auto"/>
            <w:noWrap/>
            <w:vAlign w:val="bottom"/>
            <w:hideMark/>
          </w:tcPr>
          <w:p w14:paraId="65BB9998"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金融</w:t>
            </w:r>
          </w:p>
        </w:tc>
        <w:tc>
          <w:tcPr>
            <w:tcW w:w="2127" w:type="dxa"/>
            <w:shd w:val="clear" w:color="auto" w:fill="auto"/>
            <w:noWrap/>
            <w:vAlign w:val="bottom"/>
            <w:hideMark/>
          </w:tcPr>
          <w:p w14:paraId="69003B9A"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11849</w:t>
            </w:r>
          </w:p>
        </w:tc>
        <w:tc>
          <w:tcPr>
            <w:tcW w:w="872" w:type="dxa"/>
            <w:shd w:val="clear" w:color="auto" w:fill="auto"/>
            <w:noWrap/>
            <w:vAlign w:val="bottom"/>
            <w:hideMark/>
          </w:tcPr>
          <w:p w14:paraId="48FB658D"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台积电</w:t>
            </w:r>
          </w:p>
        </w:tc>
        <w:tc>
          <w:tcPr>
            <w:tcW w:w="1112" w:type="dxa"/>
            <w:shd w:val="clear" w:color="auto" w:fill="auto"/>
            <w:noWrap/>
            <w:vAlign w:val="bottom"/>
            <w:hideMark/>
          </w:tcPr>
          <w:p w14:paraId="6F73AD8F"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信息技术</w:t>
            </w:r>
          </w:p>
        </w:tc>
        <w:tc>
          <w:tcPr>
            <w:tcW w:w="1985" w:type="dxa"/>
            <w:shd w:val="clear" w:color="auto" w:fill="auto"/>
            <w:noWrap/>
            <w:vAlign w:val="bottom"/>
            <w:hideMark/>
          </w:tcPr>
          <w:p w14:paraId="43D630E6"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73628</w:t>
            </w:r>
          </w:p>
        </w:tc>
      </w:tr>
      <w:tr w:rsidR="00F304F4" w:rsidRPr="000D4DAB" w14:paraId="08EB0187" w14:textId="77777777" w:rsidTr="003D2AA5">
        <w:trPr>
          <w:trHeight w:val="288"/>
          <w:jc w:val="center"/>
        </w:trPr>
        <w:tc>
          <w:tcPr>
            <w:tcW w:w="582" w:type="dxa"/>
            <w:shd w:val="clear" w:color="auto" w:fill="auto"/>
            <w:noWrap/>
            <w:vAlign w:val="bottom"/>
            <w:hideMark/>
          </w:tcPr>
          <w:p w14:paraId="35025BF8"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10</w:t>
            </w:r>
          </w:p>
        </w:tc>
        <w:tc>
          <w:tcPr>
            <w:tcW w:w="1134" w:type="dxa"/>
            <w:shd w:val="clear" w:color="auto" w:fill="auto"/>
            <w:noWrap/>
            <w:vAlign w:val="bottom"/>
            <w:hideMark/>
          </w:tcPr>
          <w:p w14:paraId="368F0B24"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宁德时代</w:t>
            </w:r>
          </w:p>
        </w:tc>
        <w:tc>
          <w:tcPr>
            <w:tcW w:w="1134" w:type="dxa"/>
            <w:shd w:val="clear" w:color="auto" w:fill="auto"/>
            <w:noWrap/>
            <w:vAlign w:val="bottom"/>
            <w:hideMark/>
          </w:tcPr>
          <w:p w14:paraId="28AB39F3"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工业</w:t>
            </w:r>
          </w:p>
        </w:tc>
        <w:tc>
          <w:tcPr>
            <w:tcW w:w="2127" w:type="dxa"/>
            <w:shd w:val="clear" w:color="auto" w:fill="auto"/>
            <w:noWrap/>
            <w:vAlign w:val="bottom"/>
            <w:hideMark/>
          </w:tcPr>
          <w:p w14:paraId="4BDAD8E6"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11713</w:t>
            </w:r>
          </w:p>
        </w:tc>
        <w:tc>
          <w:tcPr>
            <w:tcW w:w="872" w:type="dxa"/>
            <w:shd w:val="clear" w:color="auto" w:fill="auto"/>
            <w:noWrap/>
            <w:vAlign w:val="bottom"/>
            <w:hideMark/>
          </w:tcPr>
          <w:p w14:paraId="25BFBD2F"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伯克希尔</w:t>
            </w:r>
          </w:p>
        </w:tc>
        <w:tc>
          <w:tcPr>
            <w:tcW w:w="1112" w:type="dxa"/>
            <w:shd w:val="clear" w:color="auto" w:fill="auto"/>
            <w:noWrap/>
            <w:vAlign w:val="bottom"/>
            <w:hideMark/>
          </w:tcPr>
          <w:p w14:paraId="47C96E71"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金融</w:t>
            </w:r>
          </w:p>
        </w:tc>
        <w:tc>
          <w:tcPr>
            <w:tcW w:w="1985" w:type="dxa"/>
            <w:shd w:val="clear" w:color="auto" w:fill="auto"/>
            <w:noWrap/>
            <w:vAlign w:val="bottom"/>
            <w:hideMark/>
          </w:tcPr>
          <w:p w14:paraId="159ED200" w14:textId="77777777" w:rsidR="00F304F4" w:rsidRPr="000D4DAB" w:rsidRDefault="00F304F4" w:rsidP="00AF0AF5">
            <w:pPr>
              <w:widowControl/>
              <w:spacing w:line="360" w:lineRule="auto"/>
              <w:jc w:val="center"/>
              <w:rPr>
                <w:rFonts w:ascii="Times New Roman" w:eastAsia="宋体" w:hAnsi="Times New Roman" w:cs="Times New Roman"/>
                <w:color w:val="000000"/>
                <w:kern w:val="0"/>
                <w:szCs w:val="21"/>
              </w:rPr>
            </w:pPr>
            <w:r w:rsidRPr="000D4DAB">
              <w:rPr>
                <w:rFonts w:ascii="Times New Roman" w:eastAsia="宋体" w:hAnsi="Times New Roman" w:cs="Times New Roman"/>
                <w:color w:val="000000"/>
                <w:kern w:val="0"/>
                <w:szCs w:val="21"/>
              </w:rPr>
              <w:t>70367</w:t>
            </w:r>
          </w:p>
        </w:tc>
      </w:tr>
    </w:tbl>
    <w:p w14:paraId="3AA63C02" w14:textId="299C2D4D" w:rsidR="00F304F4" w:rsidRPr="001C4450" w:rsidRDefault="00F304F4" w:rsidP="00AF0AF5">
      <w:pPr>
        <w:adjustRightInd w:val="0"/>
        <w:snapToGrid w:val="0"/>
        <w:spacing w:before="100" w:beforeAutospacing="1" w:after="100" w:afterAutospacing="1" w:line="360" w:lineRule="auto"/>
        <w:ind w:firstLineChars="200" w:firstLine="420"/>
        <w:contextualSpacing/>
        <w:rPr>
          <w:rFonts w:ascii="宋体" w:eastAsia="宋体" w:hAnsi="宋体" w:cs="Times New Roman"/>
          <w:szCs w:val="21"/>
        </w:rPr>
      </w:pPr>
      <w:r w:rsidRPr="001C4450">
        <w:rPr>
          <w:rFonts w:ascii="宋体" w:eastAsia="宋体" w:hAnsi="宋体" w:cs="Times New Roman" w:hint="eastAsia"/>
          <w:szCs w:val="21"/>
        </w:rPr>
        <w:t>资料来源：</w:t>
      </w:r>
      <w:r w:rsidR="00500572">
        <w:rPr>
          <w:rFonts w:ascii="宋体" w:eastAsia="宋体" w:hAnsi="宋体" w:cs="Times New Roman" w:hint="eastAsia"/>
          <w:szCs w:val="21"/>
        </w:rPr>
        <w:t>W</w:t>
      </w:r>
      <w:r w:rsidRPr="001C4450">
        <w:rPr>
          <w:rFonts w:ascii="宋体" w:eastAsia="宋体" w:hAnsi="宋体" w:cs="Times New Roman" w:hint="eastAsia"/>
          <w:szCs w:val="21"/>
        </w:rPr>
        <w:t>ind</w:t>
      </w:r>
      <w:r w:rsidR="00EB5A39">
        <w:rPr>
          <w:rFonts w:ascii="宋体" w:eastAsia="宋体" w:hAnsi="宋体" w:cs="Times New Roman" w:hint="eastAsia"/>
          <w:szCs w:val="21"/>
        </w:rPr>
        <w:t>。</w:t>
      </w:r>
    </w:p>
    <w:p w14:paraId="1658F9C3" w14:textId="1F785873" w:rsidR="00F304F4" w:rsidRPr="000478CB" w:rsidRDefault="00F304F4"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sidRPr="000478CB">
        <w:rPr>
          <w:rFonts w:ascii="Times New Roman" w:eastAsia="宋体" w:hAnsi="Times New Roman" w:cs="Times New Roman" w:hint="eastAsia"/>
          <w:sz w:val="24"/>
          <w:szCs w:val="24"/>
        </w:rPr>
        <w:t>非公开股权投资市场是强大资本市场</w:t>
      </w:r>
      <w:r w:rsidR="001F3E08" w:rsidRPr="000478CB">
        <w:rPr>
          <w:rFonts w:ascii="Times New Roman" w:eastAsia="宋体" w:hAnsi="Times New Roman" w:cs="Times New Roman" w:hint="eastAsia"/>
          <w:sz w:val="24"/>
          <w:szCs w:val="24"/>
        </w:rPr>
        <w:t>助力科技创新</w:t>
      </w:r>
      <w:r w:rsidRPr="000478CB">
        <w:rPr>
          <w:rFonts w:ascii="Times New Roman" w:eastAsia="宋体" w:hAnsi="Times New Roman" w:cs="Times New Roman" w:hint="eastAsia"/>
          <w:sz w:val="24"/>
          <w:szCs w:val="24"/>
        </w:rPr>
        <w:t>的</w:t>
      </w:r>
      <w:r w:rsidR="00343A53" w:rsidRPr="000478CB">
        <w:rPr>
          <w:rFonts w:ascii="Times New Roman" w:eastAsia="宋体" w:hAnsi="Times New Roman" w:cs="Times New Roman" w:hint="eastAsia"/>
          <w:sz w:val="24"/>
          <w:szCs w:val="24"/>
        </w:rPr>
        <w:t>又一</w:t>
      </w:r>
      <w:r w:rsidRPr="000478CB">
        <w:rPr>
          <w:rFonts w:ascii="Times New Roman" w:eastAsia="宋体" w:hAnsi="Times New Roman" w:cs="Times New Roman" w:hint="eastAsia"/>
          <w:sz w:val="24"/>
          <w:szCs w:val="24"/>
        </w:rPr>
        <w:t>体现。中美资本市场行业结构差异与相对早期的股权投资市场发展是相关的。首次公开发行（</w:t>
      </w:r>
      <w:r w:rsidRPr="000478CB">
        <w:rPr>
          <w:rFonts w:ascii="Times New Roman" w:eastAsia="宋体" w:hAnsi="Times New Roman" w:cs="Times New Roman" w:hint="eastAsia"/>
          <w:sz w:val="24"/>
          <w:szCs w:val="24"/>
        </w:rPr>
        <w:t>IPO</w:t>
      </w:r>
      <w:r w:rsidRPr="000478CB">
        <w:rPr>
          <w:rFonts w:ascii="Times New Roman" w:eastAsia="宋体" w:hAnsi="Times New Roman" w:cs="Times New Roman" w:hint="eastAsia"/>
          <w:sz w:val="24"/>
          <w:szCs w:val="24"/>
        </w:rPr>
        <w:t>）对企业而言就是</w:t>
      </w:r>
      <w:r w:rsidR="00C23039">
        <w:rPr>
          <w:rFonts w:ascii="Times New Roman" w:eastAsia="宋体" w:hAnsi="Times New Roman" w:cs="Times New Roman" w:hint="eastAsia"/>
          <w:sz w:val="24"/>
          <w:szCs w:val="24"/>
        </w:rPr>
        <w:t>“鲤鱼跳龙门”，其数量相对有限</w:t>
      </w:r>
      <w:r w:rsidR="007D2CF7" w:rsidRPr="000478CB">
        <w:rPr>
          <w:rFonts w:ascii="Times New Roman" w:eastAsia="宋体" w:hAnsi="Times New Roman" w:cs="Times New Roman" w:hint="eastAsia"/>
          <w:sz w:val="24"/>
          <w:szCs w:val="24"/>
        </w:rPr>
        <w:t>。在</w:t>
      </w:r>
      <w:r w:rsidR="00C23039">
        <w:rPr>
          <w:rFonts w:ascii="Times New Roman" w:eastAsia="宋体" w:hAnsi="Times New Roman" w:cs="Times New Roman" w:hint="eastAsia"/>
          <w:sz w:val="24"/>
          <w:szCs w:val="24"/>
        </w:rPr>
        <w:t>提高</w:t>
      </w:r>
      <w:r w:rsidR="00C23039">
        <w:rPr>
          <w:rFonts w:ascii="Times New Roman" w:eastAsia="宋体" w:hAnsi="Times New Roman" w:cs="Times New Roman" w:hint="eastAsia"/>
          <w:sz w:val="24"/>
          <w:szCs w:val="24"/>
        </w:rPr>
        <w:t>IPO</w:t>
      </w:r>
      <w:r w:rsidR="00C23039">
        <w:rPr>
          <w:rFonts w:ascii="Times New Roman" w:eastAsia="宋体" w:hAnsi="Times New Roman" w:cs="Times New Roman" w:hint="eastAsia"/>
          <w:sz w:val="24"/>
          <w:szCs w:val="24"/>
        </w:rPr>
        <w:t>和注册制包容性</w:t>
      </w:r>
      <w:r w:rsidRPr="000478CB">
        <w:rPr>
          <w:rFonts w:ascii="Times New Roman" w:eastAsia="宋体" w:hAnsi="Times New Roman" w:cs="Times New Roman" w:hint="eastAsia"/>
          <w:sz w:val="24"/>
          <w:szCs w:val="24"/>
        </w:rPr>
        <w:t>的基础之上，还需要考虑</w:t>
      </w:r>
      <w:r w:rsidR="00C91EC1">
        <w:rPr>
          <w:rFonts w:ascii="Times New Roman" w:eastAsia="宋体" w:hAnsi="Times New Roman" w:cs="Times New Roman" w:hint="eastAsia"/>
          <w:sz w:val="24"/>
          <w:szCs w:val="24"/>
        </w:rPr>
        <w:t>以</w:t>
      </w:r>
      <w:r w:rsidRPr="000478CB">
        <w:rPr>
          <w:rFonts w:ascii="Times New Roman" w:eastAsia="宋体" w:hAnsi="Times New Roman" w:cs="Times New Roman" w:hint="eastAsia"/>
          <w:sz w:val="24"/>
          <w:szCs w:val="24"/>
        </w:rPr>
        <w:t>更为前端、数量更多、范围更广的天使投资、风险投资和</w:t>
      </w:r>
      <w:proofErr w:type="gramStart"/>
      <w:r w:rsidRPr="000478CB">
        <w:rPr>
          <w:rFonts w:ascii="Times New Roman" w:eastAsia="宋体" w:hAnsi="Times New Roman" w:cs="Times New Roman" w:hint="eastAsia"/>
          <w:sz w:val="24"/>
          <w:szCs w:val="24"/>
        </w:rPr>
        <w:t>私募股权基金</w:t>
      </w:r>
      <w:proofErr w:type="gramEnd"/>
      <w:r w:rsidRPr="000478CB">
        <w:rPr>
          <w:rFonts w:ascii="Times New Roman" w:eastAsia="宋体" w:hAnsi="Times New Roman" w:cs="Times New Roman" w:hint="eastAsia"/>
          <w:sz w:val="24"/>
          <w:szCs w:val="24"/>
        </w:rPr>
        <w:t>等</w:t>
      </w:r>
      <w:r w:rsidR="005D015F">
        <w:rPr>
          <w:rFonts w:ascii="Times New Roman" w:eastAsia="宋体" w:hAnsi="Times New Roman" w:cs="Times New Roman" w:hint="eastAsia"/>
          <w:sz w:val="24"/>
          <w:szCs w:val="24"/>
        </w:rPr>
        <w:t>为主要代表</w:t>
      </w:r>
      <w:r w:rsidRPr="000478CB">
        <w:rPr>
          <w:rFonts w:ascii="Times New Roman" w:eastAsia="宋体" w:hAnsi="Times New Roman" w:cs="Times New Roman" w:hint="eastAsia"/>
          <w:sz w:val="24"/>
          <w:szCs w:val="24"/>
        </w:rPr>
        <w:t>的长期资本、耐心资本的供给及</w:t>
      </w:r>
      <w:r w:rsidR="00232B97">
        <w:rPr>
          <w:rFonts w:ascii="Times New Roman" w:eastAsia="宋体" w:hAnsi="Times New Roman" w:cs="Times New Roman" w:hint="eastAsia"/>
          <w:sz w:val="24"/>
          <w:szCs w:val="24"/>
        </w:rPr>
        <w:t>相应的</w:t>
      </w:r>
      <w:r w:rsidRPr="000478CB">
        <w:rPr>
          <w:rFonts w:ascii="Times New Roman" w:eastAsia="宋体" w:hAnsi="Times New Roman" w:cs="Times New Roman" w:hint="eastAsia"/>
          <w:sz w:val="24"/>
          <w:szCs w:val="24"/>
        </w:rPr>
        <w:t>供求匹配</w:t>
      </w:r>
      <w:r w:rsidRPr="000478CB">
        <w:rPr>
          <w:rFonts w:ascii="Times New Roman" w:eastAsia="宋体" w:hAnsi="Times New Roman" w:cs="Times New Roman" w:hint="eastAsia"/>
          <w:sz w:val="24"/>
          <w:szCs w:val="24"/>
        </w:rPr>
        <w:lastRenderedPageBreak/>
        <w:t>问题，着重解决“投早”“投小”“投新”的问题。</w:t>
      </w:r>
      <w:r w:rsidRPr="000478CB">
        <w:rPr>
          <w:rFonts w:ascii="Times New Roman" w:eastAsia="宋体" w:hAnsi="Times New Roman" w:cs="Times New Roman" w:hint="eastAsia"/>
          <w:sz w:val="24"/>
          <w:szCs w:val="24"/>
        </w:rPr>
        <w:t>2023</w:t>
      </w:r>
      <w:r w:rsidRPr="000478CB">
        <w:rPr>
          <w:rFonts w:ascii="Times New Roman" w:eastAsia="宋体" w:hAnsi="Times New Roman" w:cs="Times New Roman" w:hint="eastAsia"/>
          <w:sz w:val="24"/>
          <w:szCs w:val="24"/>
        </w:rPr>
        <w:t>年中央经济工作会议指出，要鼓励发展创业投资、股权投资。</w:t>
      </w:r>
      <w:r w:rsidRPr="000478CB">
        <w:rPr>
          <w:rFonts w:ascii="Times New Roman" w:eastAsia="宋体" w:hAnsi="Times New Roman" w:cs="Times New Roman" w:hint="eastAsia"/>
          <w:sz w:val="24"/>
          <w:szCs w:val="24"/>
        </w:rPr>
        <w:t>2024</w:t>
      </w:r>
      <w:r w:rsidRPr="000478CB">
        <w:rPr>
          <w:rFonts w:ascii="Times New Roman" w:eastAsia="宋体" w:hAnsi="Times New Roman" w:cs="Times New Roman" w:hint="eastAsia"/>
          <w:sz w:val="24"/>
          <w:szCs w:val="24"/>
        </w:rPr>
        <w:t>年</w:t>
      </w:r>
      <w:r w:rsidRPr="000478CB">
        <w:rPr>
          <w:rFonts w:ascii="Times New Roman" w:eastAsia="宋体" w:hAnsi="Times New Roman" w:cs="Times New Roman" w:hint="eastAsia"/>
          <w:sz w:val="24"/>
          <w:szCs w:val="24"/>
        </w:rPr>
        <w:t>4</w:t>
      </w:r>
      <w:r w:rsidRPr="000478CB">
        <w:rPr>
          <w:rFonts w:ascii="Times New Roman" w:eastAsia="宋体" w:hAnsi="Times New Roman" w:cs="Times New Roman" w:hint="eastAsia"/>
          <w:sz w:val="24"/>
          <w:szCs w:val="24"/>
        </w:rPr>
        <w:t>月</w:t>
      </w:r>
      <w:r w:rsidRPr="000478CB">
        <w:rPr>
          <w:rFonts w:ascii="Times New Roman" w:eastAsia="宋体" w:hAnsi="Times New Roman" w:cs="Times New Roman" w:hint="eastAsia"/>
          <w:sz w:val="24"/>
          <w:szCs w:val="24"/>
        </w:rPr>
        <w:t>30</w:t>
      </w:r>
      <w:r w:rsidRPr="000478CB">
        <w:rPr>
          <w:rFonts w:ascii="Times New Roman" w:eastAsia="宋体" w:hAnsi="Times New Roman" w:cs="Times New Roman" w:hint="eastAsia"/>
          <w:sz w:val="24"/>
          <w:szCs w:val="24"/>
        </w:rPr>
        <w:t>日，中共中央政治局会议提出，要积极发展风险投资，壮大耐心资本。</w:t>
      </w:r>
      <w:r w:rsidR="00C23039">
        <w:rPr>
          <w:rFonts w:ascii="Times New Roman" w:eastAsia="宋体" w:hAnsi="Times New Roman" w:cs="Times New Roman" w:hint="eastAsia"/>
          <w:sz w:val="24"/>
          <w:szCs w:val="24"/>
        </w:rPr>
        <w:t>中国天使投资、风险投资和</w:t>
      </w:r>
      <w:proofErr w:type="gramStart"/>
      <w:r w:rsidR="00C23039">
        <w:rPr>
          <w:rFonts w:ascii="Times New Roman" w:eastAsia="宋体" w:hAnsi="Times New Roman" w:cs="Times New Roman" w:hint="eastAsia"/>
          <w:sz w:val="24"/>
          <w:szCs w:val="24"/>
        </w:rPr>
        <w:t>私募股权基金</w:t>
      </w:r>
      <w:proofErr w:type="gramEnd"/>
      <w:r w:rsidR="00C23039">
        <w:rPr>
          <w:rFonts w:ascii="Times New Roman" w:eastAsia="宋体" w:hAnsi="Times New Roman" w:cs="Times New Roman" w:hint="eastAsia"/>
          <w:sz w:val="24"/>
          <w:szCs w:val="24"/>
        </w:rPr>
        <w:t>等发展取得一定成效，但仍有较</w:t>
      </w:r>
      <w:r w:rsidR="00410998" w:rsidRPr="000478CB">
        <w:rPr>
          <w:rFonts w:ascii="Times New Roman" w:eastAsia="宋体" w:hAnsi="Times New Roman" w:cs="Times New Roman" w:hint="eastAsia"/>
          <w:sz w:val="24"/>
          <w:szCs w:val="24"/>
        </w:rPr>
        <w:t>大</w:t>
      </w:r>
      <w:r w:rsidR="002F779D">
        <w:rPr>
          <w:rFonts w:ascii="Times New Roman" w:eastAsia="宋体" w:hAnsi="Times New Roman" w:cs="Times New Roman" w:hint="eastAsia"/>
          <w:sz w:val="24"/>
          <w:szCs w:val="24"/>
        </w:rPr>
        <w:t>提升</w:t>
      </w:r>
      <w:r w:rsidR="00410998" w:rsidRPr="000478CB">
        <w:rPr>
          <w:rFonts w:ascii="Times New Roman" w:eastAsia="宋体" w:hAnsi="Times New Roman" w:cs="Times New Roman" w:hint="eastAsia"/>
          <w:sz w:val="24"/>
          <w:szCs w:val="24"/>
        </w:rPr>
        <w:t>空间。以私</w:t>
      </w:r>
      <w:proofErr w:type="gramStart"/>
      <w:r w:rsidR="00410998" w:rsidRPr="000478CB">
        <w:rPr>
          <w:rFonts w:ascii="Times New Roman" w:eastAsia="宋体" w:hAnsi="Times New Roman" w:cs="Times New Roman" w:hint="eastAsia"/>
          <w:sz w:val="24"/>
          <w:szCs w:val="24"/>
        </w:rPr>
        <w:t>募股权基金</w:t>
      </w:r>
      <w:proofErr w:type="gramEnd"/>
      <w:r w:rsidR="002F643E" w:rsidRPr="000478CB">
        <w:rPr>
          <w:rFonts w:ascii="Times New Roman" w:eastAsia="宋体" w:hAnsi="Times New Roman" w:cs="Times New Roman" w:hint="eastAsia"/>
          <w:sz w:val="24"/>
          <w:szCs w:val="24"/>
        </w:rPr>
        <w:t>（</w:t>
      </w:r>
      <w:r w:rsidR="002F643E" w:rsidRPr="000478CB">
        <w:rPr>
          <w:rFonts w:ascii="Times New Roman" w:eastAsia="宋体" w:hAnsi="Times New Roman" w:cs="Times New Roman" w:hint="eastAsia"/>
          <w:sz w:val="24"/>
          <w:szCs w:val="24"/>
        </w:rPr>
        <w:t>PE</w:t>
      </w:r>
      <w:r w:rsidR="002F643E" w:rsidRPr="000478CB">
        <w:rPr>
          <w:rFonts w:ascii="Times New Roman" w:eastAsia="宋体" w:hAnsi="Times New Roman" w:cs="Times New Roman" w:hint="eastAsia"/>
          <w:sz w:val="24"/>
          <w:szCs w:val="24"/>
        </w:rPr>
        <w:t>）</w:t>
      </w:r>
      <w:r w:rsidR="00410998" w:rsidRPr="000478CB">
        <w:rPr>
          <w:rFonts w:ascii="Times New Roman" w:eastAsia="宋体" w:hAnsi="Times New Roman" w:cs="Times New Roman" w:hint="eastAsia"/>
          <w:sz w:val="24"/>
          <w:szCs w:val="24"/>
        </w:rPr>
        <w:t>为例</w:t>
      </w:r>
      <w:r w:rsidR="00946D44">
        <w:rPr>
          <w:rFonts w:ascii="Times New Roman" w:eastAsia="宋体" w:hAnsi="Times New Roman" w:cs="Times New Roman" w:hint="eastAsia"/>
          <w:sz w:val="24"/>
          <w:szCs w:val="24"/>
        </w:rPr>
        <w:t>，</w:t>
      </w:r>
      <w:r w:rsidRPr="000478CB">
        <w:rPr>
          <w:rFonts w:ascii="Times New Roman" w:eastAsia="宋体" w:hAnsi="Times New Roman" w:cs="Times New Roman" w:hint="eastAsia"/>
          <w:sz w:val="24"/>
          <w:szCs w:val="24"/>
        </w:rPr>
        <w:t>私</w:t>
      </w:r>
      <w:proofErr w:type="gramStart"/>
      <w:r w:rsidRPr="000478CB">
        <w:rPr>
          <w:rFonts w:ascii="Times New Roman" w:eastAsia="宋体" w:hAnsi="Times New Roman" w:cs="Times New Roman" w:hint="eastAsia"/>
          <w:sz w:val="24"/>
          <w:szCs w:val="24"/>
        </w:rPr>
        <w:t>募股权投资</w:t>
      </w:r>
      <w:proofErr w:type="gramEnd"/>
      <w:r w:rsidRPr="000478CB">
        <w:rPr>
          <w:rFonts w:ascii="Times New Roman" w:eastAsia="宋体" w:hAnsi="Times New Roman" w:cs="Times New Roman" w:hint="eastAsia"/>
          <w:sz w:val="24"/>
          <w:szCs w:val="24"/>
        </w:rPr>
        <w:t>基金作为科技创新和产业创新的重要催化剂，是推动资本市场多</w:t>
      </w:r>
      <w:r w:rsidR="00241DCE" w:rsidRPr="000478CB">
        <w:rPr>
          <w:rFonts w:ascii="Times New Roman" w:eastAsia="宋体" w:hAnsi="Times New Roman" w:cs="Times New Roman" w:hint="eastAsia"/>
          <w:sz w:val="24"/>
          <w:szCs w:val="24"/>
        </w:rPr>
        <w:t>层次</w:t>
      </w:r>
      <w:r w:rsidRPr="000478CB">
        <w:rPr>
          <w:rFonts w:ascii="Times New Roman" w:eastAsia="宋体" w:hAnsi="Times New Roman" w:cs="Times New Roman" w:hint="eastAsia"/>
          <w:sz w:val="24"/>
          <w:szCs w:val="24"/>
        </w:rPr>
        <w:t>发展的重要力量。</w:t>
      </w:r>
      <w:r w:rsidR="00241DCE" w:rsidRPr="000478CB">
        <w:rPr>
          <w:rFonts w:ascii="Times New Roman" w:eastAsia="宋体" w:hAnsi="Times New Roman" w:cs="Times New Roman" w:hint="eastAsia"/>
          <w:sz w:val="24"/>
          <w:szCs w:val="24"/>
        </w:rPr>
        <w:t>经过多年发展，目前美国已拥有全球最大的</w:t>
      </w:r>
      <w:r w:rsidR="00C23039">
        <w:rPr>
          <w:rFonts w:ascii="Times New Roman" w:eastAsia="宋体" w:hAnsi="Times New Roman" w:cs="Times New Roman" w:hint="eastAsia"/>
          <w:sz w:val="24"/>
          <w:szCs w:val="24"/>
        </w:rPr>
        <w:t>PE</w:t>
      </w:r>
      <w:r w:rsidR="00241DCE" w:rsidRPr="000478CB">
        <w:rPr>
          <w:rFonts w:ascii="Times New Roman" w:eastAsia="宋体" w:hAnsi="Times New Roman" w:cs="Times New Roman" w:hint="eastAsia"/>
          <w:sz w:val="24"/>
          <w:szCs w:val="24"/>
        </w:rPr>
        <w:t>市场，</w:t>
      </w:r>
      <w:r w:rsidRPr="000478CB">
        <w:rPr>
          <w:rFonts w:ascii="Times New Roman" w:eastAsia="宋体" w:hAnsi="Times New Roman" w:cs="Times New Roman" w:hint="eastAsia"/>
          <w:sz w:val="24"/>
          <w:szCs w:val="24"/>
        </w:rPr>
        <w:t>相</w:t>
      </w:r>
      <w:r w:rsidR="00410998" w:rsidRPr="000478CB">
        <w:rPr>
          <w:rFonts w:ascii="Times New Roman" w:eastAsia="宋体" w:hAnsi="Times New Roman" w:cs="Times New Roman" w:hint="eastAsia"/>
          <w:sz w:val="24"/>
          <w:szCs w:val="24"/>
        </w:rPr>
        <w:t>比</w:t>
      </w:r>
      <w:r w:rsidRPr="000478CB">
        <w:rPr>
          <w:rFonts w:ascii="Times New Roman" w:eastAsia="宋体" w:hAnsi="Times New Roman" w:cs="Times New Roman" w:hint="eastAsia"/>
          <w:sz w:val="24"/>
          <w:szCs w:val="24"/>
        </w:rPr>
        <w:t>之下，中国</w:t>
      </w:r>
      <w:r w:rsidR="00C23039">
        <w:rPr>
          <w:rFonts w:ascii="Times New Roman" w:eastAsia="宋体" w:hAnsi="Times New Roman" w:cs="Times New Roman" w:hint="eastAsia"/>
          <w:sz w:val="24"/>
          <w:szCs w:val="24"/>
        </w:rPr>
        <w:t>PE</w:t>
      </w:r>
      <w:r w:rsidRPr="000478CB">
        <w:rPr>
          <w:rFonts w:ascii="Times New Roman" w:eastAsia="宋体" w:hAnsi="Times New Roman" w:cs="Times New Roman" w:hint="eastAsia"/>
          <w:sz w:val="24"/>
          <w:szCs w:val="24"/>
        </w:rPr>
        <w:t>行业发展时间很短，</w:t>
      </w:r>
      <w:r w:rsidR="00410998" w:rsidRPr="000478CB">
        <w:rPr>
          <w:rFonts w:ascii="Times New Roman" w:eastAsia="宋体" w:hAnsi="Times New Roman" w:cs="Times New Roman" w:hint="eastAsia"/>
          <w:sz w:val="24"/>
          <w:szCs w:val="24"/>
        </w:rPr>
        <w:t>募资、投资、管理、退出经验</w:t>
      </w:r>
      <w:r w:rsidR="00241DCE" w:rsidRPr="000478CB">
        <w:rPr>
          <w:rFonts w:ascii="Times New Roman" w:eastAsia="宋体" w:hAnsi="Times New Roman" w:cs="Times New Roman" w:hint="eastAsia"/>
          <w:sz w:val="24"/>
          <w:szCs w:val="24"/>
        </w:rPr>
        <w:t>仍不成熟</w:t>
      </w:r>
      <w:r w:rsidR="00735789">
        <w:rPr>
          <w:rFonts w:ascii="Times New Roman" w:eastAsia="宋体" w:hAnsi="Times New Roman" w:cs="Times New Roman" w:hint="eastAsia"/>
          <w:sz w:val="24"/>
          <w:szCs w:val="24"/>
        </w:rPr>
        <w:t>。</w:t>
      </w:r>
      <w:r w:rsidR="00C23039">
        <w:rPr>
          <w:rFonts w:ascii="Times New Roman" w:eastAsia="宋体" w:hAnsi="Times New Roman" w:cs="Times New Roman" w:hint="eastAsia"/>
          <w:sz w:val="24"/>
          <w:szCs w:val="24"/>
        </w:rPr>
        <w:t>并且，</w:t>
      </w:r>
      <w:r w:rsidR="00241DCE" w:rsidRPr="000478CB">
        <w:rPr>
          <w:rFonts w:ascii="Times New Roman" w:eastAsia="宋体" w:hAnsi="Times New Roman" w:cs="Times New Roman" w:hint="eastAsia"/>
          <w:sz w:val="24"/>
          <w:szCs w:val="24"/>
        </w:rPr>
        <w:t>中国</w:t>
      </w:r>
      <w:r w:rsidR="00241DCE" w:rsidRPr="000478CB">
        <w:rPr>
          <w:rFonts w:ascii="Times New Roman" w:eastAsia="宋体" w:hAnsi="Times New Roman" w:cs="Times New Roman" w:hint="eastAsia"/>
          <w:sz w:val="24"/>
          <w:szCs w:val="24"/>
        </w:rPr>
        <w:t>PE</w:t>
      </w:r>
      <w:r w:rsidR="00241DCE" w:rsidRPr="000478CB">
        <w:rPr>
          <w:rFonts w:ascii="Times New Roman" w:eastAsia="宋体" w:hAnsi="Times New Roman" w:cs="Times New Roman" w:hint="eastAsia"/>
          <w:sz w:val="24"/>
          <w:szCs w:val="24"/>
        </w:rPr>
        <w:t>资金</w:t>
      </w:r>
      <w:r w:rsidRPr="000478CB">
        <w:rPr>
          <w:rFonts w:ascii="Times New Roman" w:eastAsia="宋体" w:hAnsi="Times New Roman" w:cs="Times New Roman" w:hint="eastAsia"/>
          <w:sz w:val="24"/>
          <w:szCs w:val="24"/>
        </w:rPr>
        <w:t>规模较小，</w:t>
      </w:r>
      <w:r w:rsidR="00410998" w:rsidRPr="000478CB">
        <w:rPr>
          <w:rFonts w:ascii="Times New Roman" w:eastAsia="宋体" w:hAnsi="Times New Roman" w:cs="Times New Roman" w:hint="eastAsia"/>
          <w:sz w:val="24"/>
          <w:szCs w:val="24"/>
        </w:rPr>
        <w:t>2023</w:t>
      </w:r>
      <w:r w:rsidR="00410998" w:rsidRPr="000478CB">
        <w:rPr>
          <w:rFonts w:ascii="Times New Roman" w:eastAsia="宋体" w:hAnsi="Times New Roman" w:cs="Times New Roman" w:hint="eastAsia"/>
          <w:sz w:val="24"/>
          <w:szCs w:val="24"/>
        </w:rPr>
        <w:t>年末为</w:t>
      </w:r>
      <w:r w:rsidR="00410998" w:rsidRPr="000478CB">
        <w:rPr>
          <w:rFonts w:ascii="Times New Roman" w:eastAsia="宋体" w:hAnsi="Times New Roman" w:cs="Times New Roman" w:hint="eastAsia"/>
          <w:sz w:val="24"/>
          <w:szCs w:val="24"/>
        </w:rPr>
        <w:t>1.53</w:t>
      </w:r>
      <w:proofErr w:type="gramStart"/>
      <w:r w:rsidR="00410998" w:rsidRPr="000478CB">
        <w:rPr>
          <w:rFonts w:ascii="Times New Roman" w:eastAsia="宋体" w:hAnsi="Times New Roman" w:cs="Times New Roman" w:hint="eastAsia"/>
          <w:sz w:val="24"/>
          <w:szCs w:val="24"/>
        </w:rPr>
        <w:t>万亿</w:t>
      </w:r>
      <w:proofErr w:type="gramEnd"/>
      <w:r w:rsidR="00410998" w:rsidRPr="000478CB">
        <w:rPr>
          <w:rFonts w:ascii="Times New Roman" w:eastAsia="宋体" w:hAnsi="Times New Roman" w:cs="Times New Roman" w:hint="eastAsia"/>
          <w:sz w:val="24"/>
          <w:szCs w:val="24"/>
        </w:rPr>
        <w:t>美元，</w:t>
      </w:r>
      <w:r w:rsidRPr="000478CB">
        <w:rPr>
          <w:rFonts w:ascii="Times New Roman" w:eastAsia="宋体" w:hAnsi="Times New Roman" w:cs="Times New Roman" w:hint="eastAsia"/>
          <w:sz w:val="24"/>
          <w:szCs w:val="24"/>
        </w:rPr>
        <w:t>约为美国的</w:t>
      </w:r>
      <w:r w:rsidRPr="000478CB">
        <w:rPr>
          <w:rFonts w:ascii="Times New Roman" w:eastAsia="宋体" w:hAnsi="Times New Roman" w:cs="Times New Roman" w:hint="eastAsia"/>
          <w:sz w:val="24"/>
          <w:szCs w:val="24"/>
        </w:rPr>
        <w:t>22.67%</w:t>
      </w:r>
      <w:r w:rsidRPr="000478CB">
        <w:rPr>
          <w:rFonts w:ascii="Times New Roman" w:eastAsia="宋体" w:hAnsi="Times New Roman" w:cs="Times New Roman" w:hint="eastAsia"/>
          <w:sz w:val="24"/>
          <w:szCs w:val="24"/>
        </w:rPr>
        <w:t>（详见图</w:t>
      </w:r>
      <w:r w:rsidR="00604C59" w:rsidRPr="000478CB">
        <w:rPr>
          <w:rFonts w:ascii="Times New Roman" w:eastAsia="宋体" w:hAnsi="Times New Roman" w:cs="Times New Roman" w:hint="eastAsia"/>
          <w:sz w:val="24"/>
          <w:szCs w:val="24"/>
        </w:rPr>
        <w:t>2</w:t>
      </w:r>
      <w:r w:rsidRPr="000478CB">
        <w:rPr>
          <w:rFonts w:ascii="Times New Roman" w:eastAsia="宋体" w:hAnsi="Times New Roman" w:cs="Times New Roman" w:hint="eastAsia"/>
          <w:sz w:val="24"/>
          <w:szCs w:val="24"/>
        </w:rPr>
        <w:t>）。与此同时，国内天使投资、风险投资及私</w:t>
      </w:r>
      <w:proofErr w:type="gramStart"/>
      <w:r w:rsidRPr="000478CB">
        <w:rPr>
          <w:rFonts w:ascii="Times New Roman" w:eastAsia="宋体" w:hAnsi="Times New Roman" w:cs="Times New Roman" w:hint="eastAsia"/>
          <w:sz w:val="24"/>
          <w:szCs w:val="24"/>
        </w:rPr>
        <w:t>募股权基金</w:t>
      </w:r>
      <w:proofErr w:type="gramEnd"/>
      <w:r w:rsidRPr="000478CB">
        <w:rPr>
          <w:rFonts w:ascii="Times New Roman" w:eastAsia="宋体" w:hAnsi="Times New Roman" w:cs="Times New Roman" w:hint="eastAsia"/>
          <w:sz w:val="24"/>
          <w:szCs w:val="24"/>
        </w:rPr>
        <w:t>的国际化程度</w:t>
      </w:r>
      <w:r w:rsidR="00C23039">
        <w:rPr>
          <w:rFonts w:ascii="Times New Roman" w:eastAsia="宋体" w:hAnsi="Times New Roman" w:cs="Times New Roman" w:hint="eastAsia"/>
          <w:sz w:val="24"/>
          <w:szCs w:val="24"/>
        </w:rPr>
        <w:t>总体</w:t>
      </w:r>
      <w:r w:rsidRPr="000478CB">
        <w:rPr>
          <w:rFonts w:ascii="Times New Roman" w:eastAsia="宋体" w:hAnsi="Times New Roman" w:cs="Times New Roman" w:hint="eastAsia"/>
          <w:sz w:val="24"/>
          <w:szCs w:val="24"/>
        </w:rPr>
        <w:t>不高</w:t>
      </w:r>
      <w:r w:rsidR="009B3FF9" w:rsidRPr="000478CB">
        <w:rPr>
          <w:rFonts w:ascii="Times New Roman" w:eastAsia="宋体" w:hAnsi="Times New Roman" w:cs="Times New Roman" w:hint="eastAsia"/>
          <w:sz w:val="24"/>
          <w:szCs w:val="24"/>
        </w:rPr>
        <w:t>（详见图</w:t>
      </w:r>
      <w:r w:rsidR="00604C59" w:rsidRPr="000478CB">
        <w:rPr>
          <w:rFonts w:ascii="Times New Roman" w:eastAsia="宋体" w:hAnsi="Times New Roman" w:cs="Times New Roman" w:hint="eastAsia"/>
          <w:sz w:val="24"/>
          <w:szCs w:val="24"/>
        </w:rPr>
        <w:t>3</w:t>
      </w:r>
      <w:r w:rsidR="009B3FF9" w:rsidRPr="000478CB">
        <w:rPr>
          <w:rFonts w:ascii="Times New Roman" w:eastAsia="宋体" w:hAnsi="Times New Roman" w:cs="Times New Roman" w:hint="eastAsia"/>
          <w:sz w:val="24"/>
          <w:szCs w:val="24"/>
        </w:rPr>
        <w:t>）</w:t>
      </w:r>
      <w:r w:rsidR="000D30C5" w:rsidRPr="000478CB">
        <w:rPr>
          <w:rFonts w:ascii="Times New Roman" w:eastAsia="宋体" w:hAnsi="Times New Roman" w:cs="Times New Roman" w:hint="eastAsia"/>
          <w:sz w:val="24"/>
          <w:szCs w:val="24"/>
        </w:rPr>
        <w:t>。</w:t>
      </w:r>
      <w:r w:rsidRPr="000478CB">
        <w:rPr>
          <w:rFonts w:ascii="Times New Roman" w:eastAsia="宋体" w:hAnsi="Times New Roman" w:cs="Times New Roman" w:hint="eastAsia"/>
          <w:sz w:val="24"/>
          <w:szCs w:val="24"/>
        </w:rPr>
        <w:t>在美国新政府放松金融监管</w:t>
      </w:r>
      <w:r w:rsidR="00735789">
        <w:rPr>
          <w:rFonts w:ascii="Times New Roman" w:eastAsia="宋体" w:hAnsi="Times New Roman" w:cs="Times New Roman" w:hint="eastAsia"/>
          <w:sz w:val="24"/>
          <w:szCs w:val="24"/>
        </w:rPr>
        <w:t>的前景</w:t>
      </w:r>
      <w:r w:rsidRPr="000478CB">
        <w:rPr>
          <w:rFonts w:ascii="Times New Roman" w:eastAsia="宋体" w:hAnsi="Times New Roman" w:cs="Times New Roman" w:hint="eastAsia"/>
          <w:sz w:val="24"/>
          <w:szCs w:val="24"/>
        </w:rPr>
        <w:t>下，国内风险投资</w:t>
      </w:r>
      <w:r w:rsidR="00241DCE" w:rsidRPr="000478CB">
        <w:rPr>
          <w:rFonts w:ascii="Times New Roman" w:eastAsia="宋体" w:hAnsi="Times New Roman" w:cs="Times New Roman" w:hint="eastAsia"/>
          <w:sz w:val="24"/>
          <w:szCs w:val="24"/>
        </w:rPr>
        <w:t>吸纳</w:t>
      </w:r>
      <w:r w:rsidRPr="000478CB">
        <w:rPr>
          <w:rFonts w:ascii="Times New Roman" w:eastAsia="宋体" w:hAnsi="Times New Roman" w:cs="Times New Roman" w:hint="eastAsia"/>
          <w:sz w:val="24"/>
          <w:szCs w:val="24"/>
        </w:rPr>
        <w:t>国际创新资本</w:t>
      </w:r>
      <w:r w:rsidR="00D210AA">
        <w:rPr>
          <w:rFonts w:ascii="Times New Roman" w:eastAsia="宋体" w:hAnsi="Times New Roman" w:cs="Times New Roman" w:hint="eastAsia"/>
          <w:sz w:val="24"/>
          <w:szCs w:val="24"/>
        </w:rPr>
        <w:t>的</w:t>
      </w:r>
      <w:r w:rsidRPr="000478CB">
        <w:rPr>
          <w:rFonts w:ascii="Times New Roman" w:eastAsia="宋体" w:hAnsi="Times New Roman" w:cs="Times New Roman" w:hint="eastAsia"/>
          <w:sz w:val="24"/>
          <w:szCs w:val="24"/>
        </w:rPr>
        <w:t>难度可能</w:t>
      </w:r>
      <w:r w:rsidR="00241DCE" w:rsidRPr="000478CB">
        <w:rPr>
          <w:rFonts w:ascii="Times New Roman" w:eastAsia="宋体" w:hAnsi="Times New Roman" w:cs="Times New Roman" w:hint="eastAsia"/>
          <w:sz w:val="24"/>
          <w:szCs w:val="24"/>
        </w:rPr>
        <w:t>加</w:t>
      </w:r>
      <w:r w:rsidRPr="000478CB">
        <w:rPr>
          <w:rFonts w:ascii="Times New Roman" w:eastAsia="宋体" w:hAnsi="Times New Roman" w:cs="Times New Roman" w:hint="eastAsia"/>
          <w:sz w:val="24"/>
          <w:szCs w:val="24"/>
        </w:rPr>
        <w:t>大。</w:t>
      </w:r>
      <w:r w:rsidR="00C23039">
        <w:rPr>
          <w:rFonts w:ascii="Times New Roman" w:eastAsia="宋体" w:hAnsi="Times New Roman" w:cs="Times New Roman" w:hint="eastAsia"/>
          <w:sz w:val="24"/>
          <w:szCs w:val="24"/>
        </w:rPr>
        <w:t>如果美国</w:t>
      </w:r>
      <w:r w:rsidRPr="000478CB">
        <w:rPr>
          <w:rFonts w:ascii="Times New Roman" w:eastAsia="宋体" w:hAnsi="Times New Roman" w:cs="Times New Roman" w:hint="eastAsia"/>
          <w:sz w:val="24"/>
          <w:szCs w:val="24"/>
        </w:rPr>
        <w:t>新政府</w:t>
      </w:r>
      <w:r w:rsidR="00C23039">
        <w:rPr>
          <w:rFonts w:ascii="Times New Roman" w:eastAsia="宋体" w:hAnsi="Times New Roman" w:cs="Times New Roman" w:hint="eastAsia"/>
          <w:sz w:val="24"/>
          <w:szCs w:val="24"/>
        </w:rPr>
        <w:t>进一步施压对外技术合作，那么中国有效</w:t>
      </w:r>
      <w:r w:rsidRPr="000478CB">
        <w:rPr>
          <w:rFonts w:ascii="Times New Roman" w:eastAsia="宋体" w:hAnsi="Times New Roman" w:cs="Times New Roman" w:hint="eastAsia"/>
          <w:sz w:val="24"/>
          <w:szCs w:val="24"/>
        </w:rPr>
        <w:t>实现</w:t>
      </w:r>
      <w:r w:rsidR="00241DCE" w:rsidRPr="000478CB">
        <w:rPr>
          <w:rFonts w:ascii="Times New Roman" w:eastAsia="宋体" w:hAnsi="Times New Roman" w:cs="Times New Roman" w:hint="eastAsia"/>
          <w:sz w:val="24"/>
          <w:szCs w:val="24"/>
        </w:rPr>
        <w:t>内外</w:t>
      </w:r>
      <w:r w:rsidRPr="000478CB">
        <w:rPr>
          <w:rFonts w:ascii="Times New Roman" w:eastAsia="宋体" w:hAnsi="Times New Roman" w:cs="Times New Roman" w:hint="eastAsia"/>
          <w:sz w:val="24"/>
          <w:szCs w:val="24"/>
        </w:rPr>
        <w:t>资本互动</w:t>
      </w:r>
      <w:r w:rsidR="00C23039">
        <w:rPr>
          <w:rFonts w:ascii="Times New Roman" w:eastAsia="宋体" w:hAnsi="Times New Roman" w:cs="Times New Roman" w:hint="eastAsia"/>
          <w:sz w:val="24"/>
          <w:szCs w:val="24"/>
        </w:rPr>
        <w:t>、促进资本与技术相融合将存在较大</w:t>
      </w:r>
      <w:r w:rsidRPr="000478CB">
        <w:rPr>
          <w:rFonts w:ascii="Times New Roman" w:eastAsia="宋体" w:hAnsi="Times New Roman" w:cs="Times New Roman" w:hint="eastAsia"/>
          <w:sz w:val="24"/>
          <w:szCs w:val="24"/>
        </w:rPr>
        <w:t>不确定性。</w:t>
      </w:r>
    </w:p>
    <w:p w14:paraId="6E7269EE" w14:textId="1B5F1162" w:rsidR="00F304F4" w:rsidRDefault="002F643E" w:rsidP="00AF0AF5">
      <w:pPr>
        <w:adjustRightInd w:val="0"/>
        <w:snapToGrid w:val="0"/>
        <w:spacing w:before="100" w:beforeAutospacing="1" w:after="100" w:afterAutospacing="1" w:line="360" w:lineRule="auto"/>
        <w:rPr>
          <w:rStyle w:val="content-right1thtn1"/>
          <w:rFonts w:ascii="Times New Roman" w:eastAsia="宋体" w:hAnsi="Times New Roman" w:cs="Times New Roman"/>
          <w:szCs w:val="21"/>
        </w:rPr>
      </w:pPr>
      <w:r>
        <w:rPr>
          <w:noProof/>
        </w:rPr>
        <w:drawing>
          <wp:inline distT="0" distB="0" distL="0" distR="0" wp14:anchorId="292AAE46" wp14:editId="4905A51A">
            <wp:extent cx="2565400" cy="2120900"/>
            <wp:effectExtent l="0" t="0" r="25400" b="12700"/>
            <wp:docPr id="213902907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0D30C5">
        <w:rPr>
          <w:rStyle w:val="content-right1thtn1"/>
          <w:rFonts w:ascii="Times New Roman" w:eastAsia="宋体" w:hAnsi="Times New Roman" w:cs="Times New Roman" w:hint="eastAsia"/>
          <w:szCs w:val="21"/>
        </w:rPr>
        <w:t xml:space="preserve"> </w:t>
      </w:r>
      <w:r w:rsidR="000D30C5">
        <w:rPr>
          <w:noProof/>
        </w:rPr>
        <w:drawing>
          <wp:inline distT="0" distB="0" distL="0" distR="0" wp14:anchorId="7F04105B" wp14:editId="2A17AAA0">
            <wp:extent cx="2559050" cy="2120900"/>
            <wp:effectExtent l="0" t="0" r="12700" b="1270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656C33A" w14:textId="2D598A31" w:rsidR="00F304F4" w:rsidRPr="00094EFC" w:rsidRDefault="00F304F4" w:rsidP="00AF0AF5">
      <w:pPr>
        <w:adjustRightInd w:val="0"/>
        <w:snapToGrid w:val="0"/>
        <w:spacing w:before="100" w:beforeAutospacing="1" w:after="100" w:afterAutospacing="1" w:line="360" w:lineRule="auto"/>
        <w:ind w:left="5760" w:hangingChars="2400" w:hanging="5760"/>
        <w:contextualSpacing/>
        <w:rPr>
          <w:rFonts w:ascii="Times New Roman" w:eastAsia="宋体" w:hAnsi="Times New Roman" w:cs="Times New Roman"/>
          <w:sz w:val="24"/>
          <w:szCs w:val="24"/>
        </w:rPr>
      </w:pPr>
      <w:r w:rsidRPr="00094EFC">
        <w:rPr>
          <w:rFonts w:ascii="Times New Roman" w:eastAsia="宋体" w:hAnsi="Times New Roman" w:cs="Times New Roman" w:hint="eastAsia"/>
          <w:sz w:val="24"/>
          <w:szCs w:val="24"/>
        </w:rPr>
        <w:t>图</w:t>
      </w:r>
      <w:r w:rsidR="00604C59" w:rsidRPr="00094EFC">
        <w:rPr>
          <w:rFonts w:ascii="Times New Roman" w:eastAsia="宋体" w:hAnsi="Times New Roman" w:cs="Times New Roman" w:hint="eastAsia"/>
          <w:sz w:val="24"/>
          <w:szCs w:val="24"/>
        </w:rPr>
        <w:t>2</w:t>
      </w:r>
      <w:r w:rsidRPr="00094EFC">
        <w:rPr>
          <w:rFonts w:ascii="Times New Roman" w:eastAsia="宋体" w:hAnsi="Times New Roman" w:cs="Times New Roman" w:hint="eastAsia"/>
          <w:sz w:val="24"/>
          <w:szCs w:val="24"/>
        </w:rPr>
        <w:t xml:space="preserve"> </w:t>
      </w:r>
      <w:r w:rsidRPr="00094EFC">
        <w:rPr>
          <w:rFonts w:ascii="Times New Roman" w:eastAsia="宋体" w:hAnsi="Times New Roman" w:cs="Times New Roman" w:hint="eastAsia"/>
          <w:sz w:val="24"/>
          <w:szCs w:val="24"/>
        </w:rPr>
        <w:t>中美</w:t>
      </w:r>
      <w:r w:rsidR="002F643E" w:rsidRPr="00094EFC">
        <w:rPr>
          <w:rFonts w:ascii="Times New Roman" w:eastAsia="宋体" w:hAnsi="Times New Roman" w:cs="Times New Roman" w:hint="eastAsia"/>
          <w:sz w:val="24"/>
          <w:szCs w:val="24"/>
        </w:rPr>
        <w:t>PE</w:t>
      </w:r>
      <w:r w:rsidRPr="00094EFC">
        <w:rPr>
          <w:rFonts w:ascii="Times New Roman" w:eastAsia="宋体" w:hAnsi="Times New Roman" w:cs="Times New Roman" w:hint="eastAsia"/>
          <w:sz w:val="24"/>
          <w:szCs w:val="24"/>
        </w:rPr>
        <w:t>投资规模对比（亿美元）</w:t>
      </w:r>
      <w:r w:rsidR="002F643E" w:rsidRPr="00094EFC">
        <w:rPr>
          <w:rFonts w:ascii="Times New Roman" w:eastAsia="宋体" w:hAnsi="Times New Roman" w:cs="Times New Roman" w:hint="eastAsia"/>
          <w:sz w:val="24"/>
          <w:szCs w:val="24"/>
        </w:rPr>
        <w:t>图</w:t>
      </w:r>
      <w:r w:rsidR="00604C59" w:rsidRPr="00094EFC">
        <w:rPr>
          <w:rFonts w:ascii="Times New Roman" w:eastAsia="宋体" w:hAnsi="Times New Roman" w:cs="Times New Roman" w:hint="eastAsia"/>
          <w:sz w:val="24"/>
          <w:szCs w:val="24"/>
        </w:rPr>
        <w:t xml:space="preserve">3 </w:t>
      </w:r>
      <w:r w:rsidR="002F643E" w:rsidRPr="00094EFC">
        <w:rPr>
          <w:rFonts w:ascii="Times New Roman" w:eastAsia="宋体" w:hAnsi="Times New Roman" w:cs="Times New Roman" w:hint="eastAsia"/>
          <w:sz w:val="24"/>
          <w:szCs w:val="24"/>
        </w:rPr>
        <w:t>中国</w:t>
      </w:r>
      <w:r w:rsidR="002F643E" w:rsidRPr="00094EFC">
        <w:rPr>
          <w:rFonts w:ascii="Times New Roman" w:eastAsia="宋体" w:hAnsi="Times New Roman" w:cs="Times New Roman" w:hint="eastAsia"/>
          <w:sz w:val="24"/>
          <w:szCs w:val="24"/>
        </w:rPr>
        <w:t>VC</w:t>
      </w:r>
      <w:r w:rsidR="002F643E" w:rsidRPr="00094EFC">
        <w:rPr>
          <w:rFonts w:ascii="Times New Roman" w:eastAsia="宋体" w:hAnsi="Times New Roman" w:cs="Times New Roman" w:hint="eastAsia"/>
          <w:sz w:val="24"/>
          <w:szCs w:val="24"/>
        </w:rPr>
        <w:t>和</w:t>
      </w:r>
      <w:r w:rsidR="002F643E" w:rsidRPr="00094EFC">
        <w:rPr>
          <w:rFonts w:ascii="Times New Roman" w:eastAsia="宋体" w:hAnsi="Times New Roman" w:cs="Times New Roman" w:hint="eastAsia"/>
          <w:sz w:val="24"/>
          <w:szCs w:val="24"/>
        </w:rPr>
        <w:t>PE</w:t>
      </w:r>
      <w:r w:rsidR="002F643E" w:rsidRPr="00094EFC">
        <w:rPr>
          <w:rFonts w:ascii="Times New Roman" w:eastAsia="宋体" w:hAnsi="Times New Roman" w:cs="Times New Roman" w:hint="eastAsia"/>
          <w:sz w:val="24"/>
          <w:szCs w:val="24"/>
        </w:rPr>
        <w:t>非境内投资者交易笔</w:t>
      </w:r>
      <w:r w:rsidR="00B20536">
        <w:rPr>
          <w:rFonts w:ascii="Times New Roman" w:eastAsia="宋体" w:hAnsi="Times New Roman" w:cs="Times New Roman" w:hint="eastAsia"/>
          <w:sz w:val="24"/>
          <w:szCs w:val="24"/>
        </w:rPr>
        <w:t xml:space="preserve"> </w:t>
      </w:r>
      <w:r w:rsidR="00B20536">
        <w:rPr>
          <w:rFonts w:ascii="Times New Roman" w:eastAsia="宋体" w:hAnsi="Times New Roman" w:cs="Times New Roman"/>
          <w:sz w:val="24"/>
          <w:szCs w:val="24"/>
        </w:rPr>
        <w:t xml:space="preserve">                                   </w:t>
      </w:r>
      <w:r w:rsidR="00B20536" w:rsidRPr="00094EFC">
        <w:rPr>
          <w:rFonts w:ascii="Times New Roman" w:eastAsia="宋体" w:hAnsi="Times New Roman" w:cs="Times New Roman" w:hint="eastAsia"/>
          <w:sz w:val="24"/>
          <w:szCs w:val="24"/>
        </w:rPr>
        <w:t>数占比</w:t>
      </w:r>
    </w:p>
    <w:p w14:paraId="398C53F9" w14:textId="143753F2" w:rsidR="00F304F4" w:rsidRPr="009F524E" w:rsidRDefault="00F304F4" w:rsidP="00AF0AF5">
      <w:pPr>
        <w:adjustRightInd w:val="0"/>
        <w:snapToGrid w:val="0"/>
        <w:spacing w:before="100" w:beforeAutospacing="1" w:after="100" w:afterAutospacing="1" w:line="360" w:lineRule="auto"/>
        <w:ind w:firstLineChars="200" w:firstLine="420"/>
        <w:contextualSpacing/>
        <w:rPr>
          <w:rFonts w:ascii="Times New Roman" w:eastAsia="宋体" w:hAnsi="Times New Roman" w:cs="Times New Roman"/>
          <w:szCs w:val="21"/>
        </w:rPr>
      </w:pPr>
      <w:r w:rsidRPr="009F524E">
        <w:rPr>
          <w:rFonts w:ascii="Times New Roman" w:eastAsia="宋体" w:hAnsi="Times New Roman" w:cs="Times New Roman" w:hint="eastAsia"/>
          <w:szCs w:val="21"/>
        </w:rPr>
        <w:t>数据来源：</w:t>
      </w:r>
      <w:r w:rsidRPr="009F524E">
        <w:rPr>
          <w:rFonts w:ascii="Times New Roman" w:eastAsia="宋体" w:hAnsi="Times New Roman" w:cs="Times New Roman" w:hint="eastAsia"/>
          <w:szCs w:val="21"/>
        </w:rPr>
        <w:t>W</w:t>
      </w:r>
      <w:r w:rsidR="00891DC4">
        <w:rPr>
          <w:rFonts w:ascii="Times New Roman" w:eastAsia="宋体" w:hAnsi="Times New Roman" w:cs="Times New Roman"/>
          <w:szCs w:val="21"/>
        </w:rPr>
        <w:t>ind</w:t>
      </w:r>
      <w:r w:rsidR="00EB5A39">
        <w:rPr>
          <w:rFonts w:ascii="Times New Roman" w:eastAsia="宋体" w:hAnsi="Times New Roman" w:cs="Times New Roman" w:hint="eastAsia"/>
          <w:szCs w:val="21"/>
        </w:rPr>
        <w:t>。</w:t>
      </w:r>
      <w:r w:rsidR="002F643E" w:rsidRPr="009F524E">
        <w:rPr>
          <w:rFonts w:ascii="Times New Roman" w:eastAsia="宋体" w:hAnsi="Times New Roman" w:cs="Times New Roman" w:hint="eastAsia"/>
          <w:szCs w:val="21"/>
        </w:rPr>
        <w:t xml:space="preserve">                        </w:t>
      </w:r>
      <w:r w:rsidR="00891DC4">
        <w:rPr>
          <w:rFonts w:ascii="Times New Roman" w:eastAsia="宋体" w:hAnsi="Times New Roman" w:cs="Times New Roman"/>
          <w:szCs w:val="21"/>
        </w:rPr>
        <w:t xml:space="preserve">  </w:t>
      </w:r>
      <w:r w:rsidR="002F643E" w:rsidRPr="009F524E">
        <w:rPr>
          <w:rFonts w:ascii="Times New Roman" w:eastAsia="宋体" w:hAnsi="Times New Roman" w:cs="Times New Roman" w:hint="eastAsia"/>
          <w:szCs w:val="21"/>
        </w:rPr>
        <w:t>数据来源：</w:t>
      </w:r>
      <w:r w:rsidR="009B3FF9" w:rsidRPr="009F524E">
        <w:rPr>
          <w:rFonts w:ascii="Times New Roman" w:eastAsia="宋体" w:hAnsi="Times New Roman" w:cs="Times New Roman" w:hint="eastAsia"/>
          <w:szCs w:val="21"/>
        </w:rPr>
        <w:t>Pit</w:t>
      </w:r>
      <w:r w:rsidR="002F643E" w:rsidRPr="009F524E">
        <w:rPr>
          <w:rFonts w:ascii="Times New Roman" w:eastAsia="宋体" w:hAnsi="Times New Roman" w:cs="Times New Roman" w:hint="eastAsia"/>
          <w:szCs w:val="21"/>
        </w:rPr>
        <w:t>chbook</w:t>
      </w:r>
      <w:r w:rsidR="009B3FF9" w:rsidRPr="009F524E">
        <w:rPr>
          <w:rFonts w:ascii="Times New Roman" w:hAnsi="Times New Roman" w:cs="Times New Roman"/>
          <w:szCs w:val="21"/>
          <w:vertAlign w:val="superscript"/>
        </w:rPr>
        <w:footnoteReference w:id="11"/>
      </w:r>
      <w:r w:rsidR="00EB5A39">
        <w:rPr>
          <w:rFonts w:ascii="Times New Roman" w:eastAsia="宋体" w:hAnsi="Times New Roman" w:cs="Times New Roman" w:hint="eastAsia"/>
          <w:szCs w:val="21"/>
        </w:rPr>
        <w:t>。</w:t>
      </w:r>
    </w:p>
    <w:p w14:paraId="0A47B4C0" w14:textId="1CB49C7C" w:rsidR="002B4632" w:rsidRPr="000478CB" w:rsidRDefault="001F3E08"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sidRPr="000478CB">
        <w:rPr>
          <w:rFonts w:ascii="Times New Roman" w:eastAsia="宋体" w:hAnsi="Times New Roman" w:cs="Times New Roman" w:hint="eastAsia"/>
          <w:sz w:val="24"/>
          <w:szCs w:val="24"/>
        </w:rPr>
        <w:t>市场具有自我更新</w:t>
      </w:r>
      <w:r w:rsidR="00241DCE" w:rsidRPr="000478CB">
        <w:rPr>
          <w:rFonts w:ascii="Times New Roman" w:eastAsia="宋体" w:hAnsi="Times New Roman" w:cs="Times New Roman" w:hint="eastAsia"/>
          <w:sz w:val="24"/>
          <w:szCs w:val="24"/>
        </w:rPr>
        <w:t>与</w:t>
      </w:r>
      <w:r w:rsidR="008458DA" w:rsidRPr="000478CB">
        <w:rPr>
          <w:rFonts w:ascii="Times New Roman" w:eastAsia="宋体" w:hAnsi="Times New Roman" w:cs="Times New Roman" w:hint="eastAsia"/>
          <w:sz w:val="24"/>
          <w:szCs w:val="24"/>
        </w:rPr>
        <w:t>创新</w:t>
      </w:r>
      <w:r w:rsidRPr="000478CB">
        <w:rPr>
          <w:rFonts w:ascii="Times New Roman" w:eastAsia="宋体" w:hAnsi="Times New Roman" w:cs="Times New Roman" w:hint="eastAsia"/>
          <w:sz w:val="24"/>
          <w:szCs w:val="24"/>
        </w:rPr>
        <w:t>功能是强大资本市场的第二个特征。</w:t>
      </w:r>
      <w:r w:rsidR="00B662CB" w:rsidRPr="000478CB">
        <w:rPr>
          <w:rFonts w:ascii="Times New Roman" w:eastAsia="宋体" w:hAnsi="Times New Roman" w:cs="Times New Roman" w:hint="eastAsia"/>
          <w:sz w:val="24"/>
          <w:szCs w:val="24"/>
        </w:rPr>
        <w:t>资本市场是宏观经济“晴雨表”，是科技创新“驱动器”，是企业</w:t>
      </w:r>
      <w:r w:rsidR="00B662CB" w:rsidRPr="00DC0C56">
        <w:rPr>
          <w:rFonts w:ascii="宋体" w:eastAsia="宋体" w:hAnsi="宋体" w:cs="Times New Roman" w:hint="eastAsia"/>
          <w:sz w:val="24"/>
          <w:szCs w:val="24"/>
        </w:rPr>
        <w:t>成长</w:t>
      </w:r>
      <w:r w:rsidR="00B662CB" w:rsidRPr="00DC0C56">
        <w:rPr>
          <w:rFonts w:ascii="宋体" w:eastAsia="宋体" w:hAnsi="宋体" w:cs="Times New Roman"/>
          <w:sz w:val="24"/>
          <w:szCs w:val="24"/>
        </w:rPr>
        <w:t>“</w:t>
      </w:r>
      <w:r w:rsidR="00B662CB" w:rsidRPr="00DC0C56">
        <w:rPr>
          <w:rFonts w:ascii="宋体" w:eastAsia="宋体" w:hAnsi="宋体" w:cs="Times New Roman" w:hint="eastAsia"/>
          <w:sz w:val="24"/>
          <w:szCs w:val="24"/>
        </w:rPr>
        <w:t>催化剂</w:t>
      </w:r>
      <w:r w:rsidR="00B662CB" w:rsidRPr="00DC0C56">
        <w:rPr>
          <w:rFonts w:ascii="宋体" w:eastAsia="宋体" w:hAnsi="宋体" w:cs="Times New Roman"/>
          <w:sz w:val="24"/>
          <w:szCs w:val="24"/>
        </w:rPr>
        <w:t>”</w:t>
      </w:r>
      <w:r w:rsidR="00B662CB" w:rsidRPr="00DC0C56">
        <w:rPr>
          <w:rFonts w:ascii="宋体" w:eastAsia="宋体" w:hAnsi="宋体" w:cs="Times New Roman" w:hint="eastAsia"/>
          <w:sz w:val="24"/>
          <w:szCs w:val="24"/>
        </w:rPr>
        <w:t>，而这些功能的</w:t>
      </w:r>
      <w:r w:rsidR="00B662CB" w:rsidRPr="000478CB">
        <w:rPr>
          <w:rFonts w:ascii="Times New Roman" w:eastAsia="宋体" w:hAnsi="Times New Roman" w:cs="Times New Roman" w:hint="eastAsia"/>
          <w:sz w:val="24"/>
          <w:szCs w:val="24"/>
        </w:rPr>
        <w:t>发挥需要通过资本市场自身不断更新</w:t>
      </w:r>
      <w:r w:rsidR="00410998" w:rsidRPr="000478CB">
        <w:rPr>
          <w:rFonts w:ascii="Times New Roman" w:eastAsia="宋体" w:hAnsi="Times New Roman" w:cs="Times New Roman" w:hint="eastAsia"/>
          <w:sz w:val="24"/>
          <w:szCs w:val="24"/>
        </w:rPr>
        <w:t>和创新才能</w:t>
      </w:r>
      <w:r w:rsidR="00B662CB" w:rsidRPr="000478CB">
        <w:rPr>
          <w:rFonts w:ascii="Times New Roman" w:eastAsia="宋体" w:hAnsi="Times New Roman" w:cs="Times New Roman" w:hint="eastAsia"/>
          <w:sz w:val="24"/>
          <w:szCs w:val="24"/>
        </w:rPr>
        <w:t>实现。</w:t>
      </w:r>
      <w:r w:rsidR="00241DCE" w:rsidRPr="000478CB">
        <w:rPr>
          <w:rFonts w:ascii="Times New Roman" w:eastAsia="宋体" w:hAnsi="Times New Roman" w:cs="Times New Roman" w:hint="eastAsia"/>
          <w:sz w:val="24"/>
          <w:szCs w:val="24"/>
        </w:rPr>
        <w:t>资本市场发展需要动态匹配经济发展和结构调整</w:t>
      </w:r>
      <w:r w:rsidR="00410998" w:rsidRPr="000478CB">
        <w:rPr>
          <w:rFonts w:ascii="Times New Roman" w:eastAsia="宋体" w:hAnsi="Times New Roman" w:cs="Times New Roman" w:hint="eastAsia"/>
          <w:sz w:val="24"/>
          <w:szCs w:val="24"/>
        </w:rPr>
        <w:t>，特别是上市公司要能</w:t>
      </w:r>
      <w:r w:rsidR="00241DCE" w:rsidRPr="000478CB">
        <w:rPr>
          <w:rFonts w:ascii="Times New Roman" w:eastAsia="宋体" w:hAnsi="Times New Roman" w:cs="Times New Roman" w:hint="eastAsia"/>
          <w:sz w:val="24"/>
          <w:szCs w:val="24"/>
        </w:rPr>
        <w:t>有序顺畅</w:t>
      </w:r>
      <w:r w:rsidR="00410998" w:rsidRPr="000478CB">
        <w:rPr>
          <w:rFonts w:ascii="Times New Roman" w:eastAsia="宋体" w:hAnsi="Times New Roman" w:cs="Times New Roman" w:hint="eastAsia"/>
          <w:sz w:val="24"/>
          <w:szCs w:val="24"/>
        </w:rPr>
        <w:t>更新迭代</w:t>
      </w:r>
      <w:r w:rsidR="00D04E7E" w:rsidRPr="000478CB">
        <w:rPr>
          <w:rFonts w:ascii="Times New Roman" w:eastAsia="宋体" w:hAnsi="Times New Roman" w:cs="Times New Roman" w:hint="eastAsia"/>
          <w:sz w:val="24"/>
          <w:szCs w:val="24"/>
        </w:rPr>
        <w:t>，让适应经济结构调整的创新型公司不断成长，让不适应经济发展趋势的企业有序退出。</w:t>
      </w:r>
    </w:p>
    <w:p w14:paraId="3DE0729D" w14:textId="2C424B0B" w:rsidR="00B662CB" w:rsidRPr="000478CB" w:rsidRDefault="00B662CB"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sidRPr="000478CB">
        <w:rPr>
          <w:rFonts w:ascii="Times New Roman" w:eastAsia="宋体" w:hAnsi="Times New Roman" w:cs="Times New Roman" w:hint="eastAsia"/>
          <w:sz w:val="24"/>
          <w:szCs w:val="24"/>
        </w:rPr>
        <w:t>完备的退出机制是</w:t>
      </w:r>
      <w:r w:rsidR="00D04E7E" w:rsidRPr="000478CB">
        <w:rPr>
          <w:rFonts w:ascii="Times New Roman" w:eastAsia="宋体" w:hAnsi="Times New Roman" w:cs="Times New Roman" w:hint="eastAsia"/>
          <w:sz w:val="24"/>
          <w:szCs w:val="24"/>
        </w:rPr>
        <w:t>上市公司更新</w:t>
      </w:r>
      <w:r w:rsidR="008458DA" w:rsidRPr="000478CB">
        <w:rPr>
          <w:rFonts w:ascii="Times New Roman" w:eastAsia="宋体" w:hAnsi="Times New Roman" w:cs="Times New Roman" w:hint="eastAsia"/>
          <w:sz w:val="24"/>
          <w:szCs w:val="24"/>
        </w:rPr>
        <w:t>换代</w:t>
      </w:r>
      <w:r w:rsidRPr="000478CB">
        <w:rPr>
          <w:rFonts w:ascii="Times New Roman" w:eastAsia="宋体" w:hAnsi="Times New Roman" w:cs="Times New Roman" w:hint="eastAsia"/>
          <w:sz w:val="24"/>
          <w:szCs w:val="24"/>
        </w:rPr>
        <w:t>的有力保障，是资本市场自我</w:t>
      </w:r>
      <w:r w:rsidR="00D04E7E" w:rsidRPr="000478CB">
        <w:rPr>
          <w:rFonts w:ascii="Times New Roman" w:eastAsia="宋体" w:hAnsi="Times New Roman" w:cs="Times New Roman" w:hint="eastAsia"/>
          <w:sz w:val="24"/>
          <w:szCs w:val="24"/>
        </w:rPr>
        <w:t>创新</w:t>
      </w:r>
      <w:r w:rsidR="00BF221B" w:rsidRPr="000478CB">
        <w:rPr>
          <w:rFonts w:ascii="Times New Roman" w:eastAsia="宋体" w:hAnsi="Times New Roman" w:cs="Times New Roman" w:hint="eastAsia"/>
          <w:sz w:val="24"/>
          <w:szCs w:val="24"/>
        </w:rPr>
        <w:t>和效</w:t>
      </w:r>
      <w:r w:rsidR="00BF221B" w:rsidRPr="000478CB">
        <w:rPr>
          <w:rFonts w:ascii="Times New Roman" w:eastAsia="宋体" w:hAnsi="Times New Roman" w:cs="Times New Roman" w:hint="eastAsia"/>
          <w:sz w:val="24"/>
          <w:szCs w:val="24"/>
        </w:rPr>
        <w:lastRenderedPageBreak/>
        <w:t>率提升</w:t>
      </w:r>
      <w:r w:rsidRPr="000478CB">
        <w:rPr>
          <w:rFonts w:ascii="Times New Roman" w:eastAsia="宋体" w:hAnsi="Times New Roman" w:cs="Times New Roman" w:hint="eastAsia"/>
          <w:sz w:val="24"/>
          <w:szCs w:val="24"/>
        </w:rPr>
        <w:t>的重要</w:t>
      </w:r>
      <w:r w:rsidR="00410998" w:rsidRPr="000478CB">
        <w:rPr>
          <w:rFonts w:ascii="Times New Roman" w:eastAsia="宋体" w:hAnsi="Times New Roman" w:cs="Times New Roman" w:hint="eastAsia"/>
          <w:sz w:val="24"/>
          <w:szCs w:val="24"/>
        </w:rPr>
        <w:t>支撑</w:t>
      </w:r>
      <w:r w:rsidRPr="000478CB">
        <w:rPr>
          <w:rFonts w:ascii="Times New Roman" w:eastAsia="宋体" w:hAnsi="Times New Roman" w:cs="Times New Roman" w:hint="eastAsia"/>
          <w:sz w:val="24"/>
          <w:szCs w:val="24"/>
        </w:rPr>
        <w:t>。</w:t>
      </w:r>
      <w:r w:rsidR="00D04E7E" w:rsidRPr="000478CB">
        <w:rPr>
          <w:rFonts w:ascii="Times New Roman" w:eastAsia="宋体" w:hAnsi="Times New Roman" w:cs="Times New Roman" w:hint="eastAsia"/>
          <w:sz w:val="24"/>
          <w:szCs w:val="24"/>
        </w:rPr>
        <w:t>中国资本市场建设时间很短，</w:t>
      </w:r>
      <w:r w:rsidR="008458DA" w:rsidRPr="000478CB">
        <w:rPr>
          <w:rFonts w:ascii="Times New Roman" w:eastAsia="宋体" w:hAnsi="Times New Roman" w:cs="Times New Roman" w:hint="eastAsia"/>
          <w:sz w:val="24"/>
          <w:szCs w:val="24"/>
        </w:rPr>
        <w:t>各种制度安排仍在发展完善中</w:t>
      </w:r>
      <w:r w:rsidR="00D04E7E" w:rsidRPr="000478CB">
        <w:rPr>
          <w:rFonts w:ascii="Times New Roman" w:eastAsia="宋体" w:hAnsi="Times New Roman" w:cs="Times New Roman" w:hint="eastAsia"/>
          <w:sz w:val="24"/>
          <w:szCs w:val="24"/>
        </w:rPr>
        <w:t>，</w:t>
      </w:r>
      <w:r w:rsidR="008458DA" w:rsidRPr="000478CB">
        <w:rPr>
          <w:rFonts w:ascii="Times New Roman" w:eastAsia="宋体" w:hAnsi="Times New Roman" w:cs="Times New Roman" w:hint="eastAsia"/>
          <w:sz w:val="24"/>
          <w:szCs w:val="24"/>
        </w:rPr>
        <w:t>同时由于在政策</w:t>
      </w:r>
      <w:r w:rsidR="00D04E7E" w:rsidRPr="000478CB">
        <w:rPr>
          <w:rFonts w:ascii="Times New Roman" w:eastAsia="宋体" w:hAnsi="Times New Roman" w:cs="Times New Roman" w:hint="eastAsia"/>
          <w:sz w:val="24"/>
          <w:szCs w:val="24"/>
        </w:rPr>
        <w:t>实施过程中存在诸如“保壳行动”等复杂因素，</w:t>
      </w:r>
      <w:r w:rsidR="00D04E7E" w:rsidRPr="000478CB">
        <w:rPr>
          <w:rFonts w:ascii="Times New Roman" w:eastAsia="宋体" w:hAnsi="Times New Roman" w:cs="Times New Roman" w:hint="eastAsia"/>
          <w:sz w:val="24"/>
          <w:szCs w:val="24"/>
        </w:rPr>
        <w:t>A</w:t>
      </w:r>
      <w:r w:rsidR="00D04E7E" w:rsidRPr="000478CB">
        <w:rPr>
          <w:rFonts w:ascii="Times New Roman" w:eastAsia="宋体" w:hAnsi="Times New Roman" w:cs="Times New Roman" w:hint="eastAsia"/>
          <w:sz w:val="24"/>
          <w:szCs w:val="24"/>
        </w:rPr>
        <w:t>股市场</w:t>
      </w:r>
      <w:r w:rsidRPr="000478CB">
        <w:rPr>
          <w:rFonts w:ascii="Times New Roman" w:eastAsia="宋体" w:hAnsi="Times New Roman" w:cs="Times New Roman" w:hint="eastAsia"/>
          <w:sz w:val="24"/>
          <w:szCs w:val="24"/>
        </w:rPr>
        <w:t>呈现出“退市难”现象</w:t>
      </w:r>
      <w:r w:rsidR="00D04E7E" w:rsidRPr="000478CB">
        <w:rPr>
          <w:rFonts w:ascii="Times New Roman" w:eastAsia="宋体" w:hAnsi="Times New Roman" w:cs="Times New Roman" w:hint="eastAsia"/>
          <w:sz w:val="24"/>
          <w:szCs w:val="24"/>
        </w:rPr>
        <w:t>，进而影响资本市场</w:t>
      </w:r>
      <w:r w:rsidR="008458DA" w:rsidRPr="000478CB">
        <w:rPr>
          <w:rFonts w:ascii="Times New Roman" w:eastAsia="宋体" w:hAnsi="Times New Roman" w:cs="Times New Roman" w:hint="eastAsia"/>
          <w:sz w:val="24"/>
          <w:szCs w:val="24"/>
        </w:rPr>
        <w:t>的</w:t>
      </w:r>
      <w:r w:rsidR="00D04E7E" w:rsidRPr="000478CB">
        <w:rPr>
          <w:rFonts w:ascii="Times New Roman" w:eastAsia="宋体" w:hAnsi="Times New Roman" w:cs="Times New Roman" w:hint="eastAsia"/>
          <w:sz w:val="24"/>
          <w:szCs w:val="24"/>
        </w:rPr>
        <w:t>功能发挥</w:t>
      </w:r>
      <w:r w:rsidRPr="000478CB">
        <w:rPr>
          <w:rFonts w:ascii="Times New Roman" w:eastAsia="宋体" w:hAnsi="Times New Roman" w:cs="Times New Roman" w:hint="eastAsia"/>
          <w:sz w:val="24"/>
          <w:szCs w:val="24"/>
        </w:rPr>
        <w:t>。从</w:t>
      </w:r>
      <w:r w:rsidRPr="000478CB">
        <w:rPr>
          <w:rFonts w:ascii="Times New Roman" w:eastAsia="宋体" w:hAnsi="Times New Roman" w:cs="Times New Roman" w:hint="eastAsia"/>
          <w:sz w:val="24"/>
          <w:szCs w:val="24"/>
        </w:rPr>
        <w:t>2013</w:t>
      </w:r>
      <w:r w:rsidRPr="000478CB">
        <w:rPr>
          <w:rFonts w:ascii="Times New Roman" w:eastAsia="宋体" w:hAnsi="Times New Roman" w:cs="Times New Roman" w:hint="eastAsia"/>
          <w:sz w:val="24"/>
          <w:szCs w:val="24"/>
        </w:rPr>
        <w:t>年至</w:t>
      </w:r>
      <w:r w:rsidRPr="000478CB">
        <w:rPr>
          <w:rFonts w:ascii="Times New Roman" w:eastAsia="宋体" w:hAnsi="Times New Roman" w:cs="Times New Roman" w:hint="eastAsia"/>
          <w:sz w:val="24"/>
          <w:szCs w:val="24"/>
        </w:rPr>
        <w:t>2023</w:t>
      </w:r>
      <w:r w:rsidRPr="000478CB">
        <w:rPr>
          <w:rFonts w:ascii="Times New Roman" w:eastAsia="宋体" w:hAnsi="Times New Roman" w:cs="Times New Roman" w:hint="eastAsia"/>
          <w:sz w:val="24"/>
          <w:szCs w:val="24"/>
        </w:rPr>
        <w:t>年，美</w:t>
      </w:r>
      <w:proofErr w:type="gramStart"/>
      <w:r w:rsidRPr="000478CB">
        <w:rPr>
          <w:rFonts w:ascii="Times New Roman" w:eastAsia="宋体" w:hAnsi="Times New Roman" w:cs="Times New Roman" w:hint="eastAsia"/>
          <w:sz w:val="24"/>
          <w:szCs w:val="24"/>
        </w:rPr>
        <w:t>股退市率</w:t>
      </w:r>
      <w:proofErr w:type="gramEnd"/>
      <w:r w:rsidRPr="000478CB">
        <w:rPr>
          <w:rFonts w:ascii="Times New Roman" w:eastAsia="宋体" w:hAnsi="Times New Roman" w:cs="Times New Roman" w:hint="eastAsia"/>
          <w:sz w:val="24"/>
          <w:szCs w:val="24"/>
        </w:rPr>
        <w:t>平均为</w:t>
      </w:r>
      <w:r w:rsidRPr="000478CB">
        <w:rPr>
          <w:rFonts w:ascii="Times New Roman" w:eastAsia="宋体" w:hAnsi="Times New Roman" w:cs="Times New Roman" w:hint="eastAsia"/>
          <w:sz w:val="24"/>
          <w:szCs w:val="24"/>
        </w:rPr>
        <w:t>7%</w:t>
      </w:r>
      <w:r w:rsidRPr="000478CB">
        <w:rPr>
          <w:rFonts w:ascii="Times New Roman" w:eastAsia="宋体" w:hAnsi="Times New Roman" w:cs="Times New Roman" w:hint="eastAsia"/>
          <w:sz w:val="24"/>
          <w:szCs w:val="24"/>
        </w:rPr>
        <w:t>，而</w:t>
      </w:r>
      <w:r w:rsidRPr="000478CB">
        <w:rPr>
          <w:rFonts w:ascii="Times New Roman" w:eastAsia="宋体" w:hAnsi="Times New Roman" w:cs="Times New Roman" w:hint="eastAsia"/>
          <w:sz w:val="24"/>
          <w:szCs w:val="24"/>
        </w:rPr>
        <w:t>A</w:t>
      </w:r>
      <w:r w:rsidRPr="000478CB">
        <w:rPr>
          <w:rFonts w:ascii="Times New Roman" w:eastAsia="宋体" w:hAnsi="Times New Roman" w:cs="Times New Roman" w:hint="eastAsia"/>
          <w:sz w:val="24"/>
          <w:szCs w:val="24"/>
        </w:rPr>
        <w:t>股仅有</w:t>
      </w:r>
      <w:r w:rsidRPr="000478CB">
        <w:rPr>
          <w:rFonts w:ascii="Times New Roman" w:eastAsia="宋体" w:hAnsi="Times New Roman" w:cs="Times New Roman" w:hint="eastAsia"/>
          <w:sz w:val="24"/>
          <w:szCs w:val="24"/>
        </w:rPr>
        <w:t>0.37%</w:t>
      </w:r>
      <w:r w:rsidRPr="000478CB">
        <w:rPr>
          <w:rFonts w:ascii="Times New Roman" w:eastAsia="宋体" w:hAnsi="Times New Roman" w:cs="Times New Roman" w:hint="eastAsia"/>
          <w:sz w:val="24"/>
          <w:szCs w:val="24"/>
        </w:rPr>
        <w:t>（详见图</w:t>
      </w:r>
      <w:r w:rsidR="00604C59" w:rsidRPr="000478CB">
        <w:rPr>
          <w:rFonts w:ascii="Times New Roman" w:eastAsia="宋体" w:hAnsi="Times New Roman" w:cs="Times New Roman" w:hint="eastAsia"/>
          <w:sz w:val="24"/>
          <w:szCs w:val="24"/>
        </w:rPr>
        <w:t>4</w:t>
      </w:r>
      <w:r w:rsidRPr="000478CB">
        <w:rPr>
          <w:rFonts w:ascii="Times New Roman" w:eastAsia="宋体" w:hAnsi="Times New Roman" w:cs="Times New Roman" w:hint="eastAsia"/>
          <w:sz w:val="24"/>
          <w:szCs w:val="24"/>
        </w:rPr>
        <w:t>）。特别是在</w:t>
      </w:r>
      <w:r w:rsidRPr="000478CB">
        <w:rPr>
          <w:rFonts w:ascii="Times New Roman" w:eastAsia="宋体" w:hAnsi="Times New Roman" w:cs="Times New Roman" w:hint="eastAsia"/>
          <w:sz w:val="24"/>
          <w:szCs w:val="24"/>
        </w:rPr>
        <w:t>2019</w:t>
      </w:r>
      <w:r w:rsidR="00C23039">
        <w:rPr>
          <w:rFonts w:ascii="Times New Roman" w:eastAsia="宋体" w:hAnsi="Times New Roman" w:cs="Times New Roman" w:hint="eastAsia"/>
          <w:sz w:val="24"/>
          <w:szCs w:val="24"/>
        </w:rPr>
        <w:t>年以前，中国</w:t>
      </w:r>
      <w:r w:rsidRPr="000478CB">
        <w:rPr>
          <w:rFonts w:ascii="Times New Roman" w:eastAsia="宋体" w:hAnsi="Times New Roman" w:cs="Times New Roman" w:hint="eastAsia"/>
          <w:sz w:val="24"/>
          <w:szCs w:val="24"/>
        </w:rPr>
        <w:t>A</w:t>
      </w:r>
      <w:proofErr w:type="gramStart"/>
      <w:r w:rsidRPr="000478CB">
        <w:rPr>
          <w:rFonts w:ascii="Times New Roman" w:eastAsia="宋体" w:hAnsi="Times New Roman" w:cs="Times New Roman" w:hint="eastAsia"/>
          <w:sz w:val="24"/>
          <w:szCs w:val="24"/>
        </w:rPr>
        <w:t>股每年退</w:t>
      </w:r>
      <w:proofErr w:type="gramEnd"/>
      <w:r w:rsidRPr="000478CB">
        <w:rPr>
          <w:rFonts w:ascii="Times New Roman" w:eastAsia="宋体" w:hAnsi="Times New Roman" w:cs="Times New Roman" w:hint="eastAsia"/>
          <w:sz w:val="24"/>
          <w:szCs w:val="24"/>
        </w:rPr>
        <w:t>市公司数量仅为个位数</w:t>
      </w:r>
      <w:r w:rsidR="00D04E7E" w:rsidRPr="000478CB">
        <w:rPr>
          <w:rFonts w:ascii="Times New Roman" w:eastAsia="宋体" w:hAnsi="Times New Roman" w:cs="Times New Roman" w:hint="eastAsia"/>
          <w:sz w:val="24"/>
          <w:szCs w:val="24"/>
        </w:rPr>
        <w:t>，</w:t>
      </w:r>
      <w:r w:rsidRPr="000478CB">
        <w:rPr>
          <w:rFonts w:ascii="Times New Roman" w:eastAsia="宋体" w:hAnsi="Times New Roman" w:cs="Times New Roman" w:hint="eastAsia"/>
          <w:sz w:val="24"/>
          <w:szCs w:val="24"/>
        </w:rPr>
        <w:t>与之相对的美</w:t>
      </w:r>
      <w:proofErr w:type="gramStart"/>
      <w:r w:rsidRPr="000478CB">
        <w:rPr>
          <w:rFonts w:ascii="Times New Roman" w:eastAsia="宋体" w:hAnsi="Times New Roman" w:cs="Times New Roman" w:hint="eastAsia"/>
          <w:sz w:val="24"/>
          <w:szCs w:val="24"/>
        </w:rPr>
        <w:t>股退市率</w:t>
      </w:r>
      <w:proofErr w:type="gramEnd"/>
      <w:r w:rsidRPr="000478CB">
        <w:rPr>
          <w:rFonts w:ascii="Times New Roman" w:eastAsia="宋体" w:hAnsi="Times New Roman" w:cs="Times New Roman" w:hint="eastAsia"/>
          <w:sz w:val="24"/>
          <w:szCs w:val="24"/>
        </w:rPr>
        <w:t>在</w:t>
      </w:r>
      <w:r w:rsidRPr="000478CB">
        <w:rPr>
          <w:rFonts w:ascii="Times New Roman" w:eastAsia="宋体" w:hAnsi="Times New Roman" w:cs="Times New Roman" w:hint="eastAsia"/>
          <w:sz w:val="24"/>
          <w:szCs w:val="24"/>
        </w:rPr>
        <w:t>5%</w:t>
      </w:r>
      <w:r w:rsidR="00735789">
        <w:rPr>
          <w:rFonts w:ascii="Times New Roman" w:eastAsia="宋体" w:hAnsi="Times New Roman" w:cs="Times New Roman" w:hint="eastAsia"/>
          <w:sz w:val="24"/>
          <w:szCs w:val="24"/>
        </w:rPr>
        <w:t>~</w:t>
      </w:r>
      <w:r w:rsidRPr="000478CB">
        <w:rPr>
          <w:rFonts w:ascii="Times New Roman" w:eastAsia="宋体" w:hAnsi="Times New Roman" w:cs="Times New Roman" w:hint="eastAsia"/>
          <w:sz w:val="24"/>
          <w:szCs w:val="24"/>
        </w:rPr>
        <w:t>9%</w:t>
      </w:r>
      <w:r w:rsidR="00D04E7E" w:rsidRPr="000478CB">
        <w:rPr>
          <w:rFonts w:ascii="Times New Roman" w:eastAsia="宋体" w:hAnsi="Times New Roman" w:cs="Times New Roman" w:hint="eastAsia"/>
          <w:sz w:val="24"/>
          <w:szCs w:val="24"/>
        </w:rPr>
        <w:t>的区间浮动，表现出高度的动态淘汰性</w:t>
      </w:r>
      <w:r w:rsidRPr="000478CB">
        <w:rPr>
          <w:rFonts w:ascii="Times New Roman" w:eastAsia="宋体" w:hAnsi="Times New Roman" w:cs="Times New Roman" w:hint="eastAsia"/>
          <w:sz w:val="24"/>
          <w:szCs w:val="24"/>
        </w:rPr>
        <w:t>。</w:t>
      </w:r>
      <w:r w:rsidRPr="000478CB">
        <w:rPr>
          <w:rFonts w:ascii="Times New Roman" w:eastAsia="宋体" w:hAnsi="Times New Roman" w:cs="Times New Roman" w:hint="eastAsia"/>
          <w:sz w:val="24"/>
          <w:szCs w:val="24"/>
        </w:rPr>
        <w:t>2020</w:t>
      </w:r>
      <w:r w:rsidRPr="000478CB">
        <w:rPr>
          <w:rFonts w:ascii="Times New Roman" w:eastAsia="宋体" w:hAnsi="Times New Roman" w:cs="Times New Roman" w:hint="eastAsia"/>
          <w:sz w:val="24"/>
          <w:szCs w:val="24"/>
        </w:rPr>
        <w:t>年</w:t>
      </w:r>
      <w:r w:rsidRPr="000478CB">
        <w:rPr>
          <w:rFonts w:ascii="Times New Roman" w:eastAsia="宋体" w:hAnsi="Times New Roman" w:cs="Times New Roman" w:hint="eastAsia"/>
          <w:sz w:val="24"/>
          <w:szCs w:val="24"/>
        </w:rPr>
        <w:t>11</w:t>
      </w:r>
      <w:r w:rsidRPr="000478CB">
        <w:rPr>
          <w:rFonts w:ascii="Times New Roman" w:eastAsia="宋体" w:hAnsi="Times New Roman" w:cs="Times New Roman" w:hint="eastAsia"/>
          <w:sz w:val="24"/>
          <w:szCs w:val="24"/>
        </w:rPr>
        <w:t>月中央全面深化改</w:t>
      </w:r>
      <w:r w:rsidR="00C23039">
        <w:rPr>
          <w:rFonts w:ascii="Times New Roman" w:eastAsia="宋体" w:hAnsi="Times New Roman" w:cs="Times New Roman" w:hint="eastAsia"/>
          <w:sz w:val="24"/>
          <w:szCs w:val="24"/>
        </w:rPr>
        <w:t>革委员会审议通过《健全上市公司退市机制实施方案》，中国资本市场</w:t>
      </w:r>
      <w:r w:rsidRPr="000478CB">
        <w:rPr>
          <w:rFonts w:ascii="Times New Roman" w:eastAsia="宋体" w:hAnsi="Times New Roman" w:cs="Times New Roman" w:hint="eastAsia"/>
          <w:sz w:val="24"/>
          <w:szCs w:val="24"/>
        </w:rPr>
        <w:t>更为完善的退市机制正式开始</w:t>
      </w:r>
      <w:r w:rsidR="00C23039">
        <w:rPr>
          <w:rFonts w:ascii="Times New Roman" w:eastAsia="宋体" w:hAnsi="Times New Roman" w:cs="Times New Roman" w:hint="eastAsia"/>
          <w:sz w:val="24"/>
          <w:szCs w:val="24"/>
        </w:rPr>
        <w:t>推进</w:t>
      </w:r>
      <w:r w:rsidRPr="000478CB">
        <w:rPr>
          <w:rFonts w:ascii="Times New Roman" w:eastAsia="宋体" w:hAnsi="Times New Roman" w:cs="Times New Roman" w:hint="eastAsia"/>
          <w:sz w:val="24"/>
          <w:szCs w:val="24"/>
        </w:rPr>
        <w:t>，从</w:t>
      </w:r>
      <w:r w:rsidRPr="000478CB">
        <w:rPr>
          <w:rFonts w:ascii="Times New Roman" w:eastAsia="宋体" w:hAnsi="Times New Roman" w:cs="Times New Roman" w:hint="eastAsia"/>
          <w:sz w:val="24"/>
          <w:szCs w:val="24"/>
        </w:rPr>
        <w:t>2020</w:t>
      </w:r>
      <w:r w:rsidRPr="000478CB">
        <w:rPr>
          <w:rFonts w:ascii="Times New Roman" w:eastAsia="宋体" w:hAnsi="Times New Roman" w:cs="Times New Roman" w:hint="eastAsia"/>
          <w:sz w:val="24"/>
          <w:szCs w:val="24"/>
        </w:rPr>
        <w:t>年开始，</w:t>
      </w:r>
      <w:r w:rsidRPr="000478CB">
        <w:rPr>
          <w:rFonts w:ascii="Times New Roman" w:eastAsia="宋体" w:hAnsi="Times New Roman" w:cs="Times New Roman" w:hint="eastAsia"/>
          <w:sz w:val="24"/>
          <w:szCs w:val="24"/>
        </w:rPr>
        <w:t>A</w:t>
      </w:r>
      <w:proofErr w:type="gramStart"/>
      <w:r w:rsidRPr="000478CB">
        <w:rPr>
          <w:rFonts w:ascii="Times New Roman" w:eastAsia="宋体" w:hAnsi="Times New Roman" w:cs="Times New Roman" w:hint="eastAsia"/>
          <w:sz w:val="24"/>
          <w:szCs w:val="24"/>
        </w:rPr>
        <w:t>股退市数量</w:t>
      </w:r>
      <w:proofErr w:type="gramEnd"/>
      <w:r w:rsidRPr="000478CB">
        <w:rPr>
          <w:rFonts w:ascii="Times New Roman" w:eastAsia="宋体" w:hAnsi="Times New Roman" w:cs="Times New Roman" w:hint="eastAsia"/>
          <w:sz w:val="24"/>
          <w:szCs w:val="24"/>
        </w:rPr>
        <w:t>呈现出稳步上升趋势。伴随着</w:t>
      </w:r>
      <w:r w:rsidRPr="000478CB">
        <w:rPr>
          <w:rFonts w:ascii="Times New Roman" w:eastAsia="宋体" w:hAnsi="Times New Roman" w:cs="Times New Roman" w:hint="eastAsia"/>
          <w:sz w:val="24"/>
          <w:szCs w:val="24"/>
        </w:rPr>
        <w:t>2024</w:t>
      </w:r>
      <w:r w:rsidRPr="000478CB">
        <w:rPr>
          <w:rFonts w:ascii="Times New Roman" w:eastAsia="宋体" w:hAnsi="Times New Roman" w:cs="Times New Roman" w:hint="eastAsia"/>
          <w:sz w:val="24"/>
          <w:szCs w:val="24"/>
        </w:rPr>
        <w:t>年</w:t>
      </w:r>
      <w:r w:rsidRPr="000478CB">
        <w:rPr>
          <w:rFonts w:ascii="Times New Roman" w:eastAsia="宋体" w:hAnsi="Times New Roman" w:cs="Times New Roman" w:hint="eastAsia"/>
          <w:sz w:val="24"/>
          <w:szCs w:val="24"/>
        </w:rPr>
        <w:t>4</w:t>
      </w:r>
      <w:r w:rsidRPr="000478CB">
        <w:rPr>
          <w:rFonts w:ascii="Times New Roman" w:eastAsia="宋体" w:hAnsi="Times New Roman" w:cs="Times New Roman" w:hint="eastAsia"/>
          <w:sz w:val="24"/>
          <w:szCs w:val="24"/>
        </w:rPr>
        <w:t>月</w:t>
      </w:r>
      <w:r w:rsidRPr="000478CB">
        <w:rPr>
          <w:rFonts w:ascii="Times New Roman" w:eastAsia="宋体" w:hAnsi="Times New Roman" w:cs="Times New Roman"/>
          <w:sz w:val="24"/>
          <w:szCs w:val="24"/>
        </w:rPr>
        <w:t>《关于严格执行退市制度的意见》</w:t>
      </w:r>
      <w:r w:rsidR="00C23039">
        <w:rPr>
          <w:rFonts w:ascii="Times New Roman" w:eastAsia="宋体" w:hAnsi="Times New Roman" w:cs="Times New Roman" w:hint="eastAsia"/>
          <w:sz w:val="24"/>
          <w:szCs w:val="24"/>
        </w:rPr>
        <w:t>的</w:t>
      </w:r>
      <w:r w:rsidRPr="000478CB">
        <w:rPr>
          <w:rFonts w:ascii="Times New Roman" w:eastAsia="宋体" w:hAnsi="Times New Roman" w:cs="Times New Roman" w:hint="eastAsia"/>
          <w:sz w:val="24"/>
          <w:szCs w:val="24"/>
        </w:rPr>
        <w:t>正式实施，</w:t>
      </w:r>
      <w:r w:rsidRPr="000478CB">
        <w:rPr>
          <w:rFonts w:ascii="Times New Roman" w:eastAsia="宋体" w:hAnsi="Times New Roman" w:cs="Times New Roman" w:hint="eastAsia"/>
          <w:sz w:val="24"/>
          <w:szCs w:val="24"/>
        </w:rPr>
        <w:t>A</w:t>
      </w:r>
      <w:r w:rsidRPr="000478CB">
        <w:rPr>
          <w:rFonts w:ascii="Times New Roman" w:eastAsia="宋体" w:hAnsi="Times New Roman" w:cs="Times New Roman" w:hint="eastAsia"/>
          <w:sz w:val="24"/>
          <w:szCs w:val="24"/>
        </w:rPr>
        <w:t>股正在加速形成常态化的退市格局</w:t>
      </w:r>
      <w:r w:rsidR="00410998" w:rsidRPr="000478CB">
        <w:rPr>
          <w:rFonts w:ascii="Times New Roman" w:eastAsia="宋体" w:hAnsi="Times New Roman" w:cs="Times New Roman" w:hint="eastAsia"/>
          <w:sz w:val="24"/>
          <w:szCs w:val="24"/>
        </w:rPr>
        <w:t>，当前</w:t>
      </w:r>
      <w:r w:rsidRPr="000478CB">
        <w:rPr>
          <w:rFonts w:ascii="Times New Roman" w:eastAsia="宋体" w:hAnsi="Times New Roman" w:cs="Times New Roman" w:hint="eastAsia"/>
          <w:sz w:val="24"/>
          <w:szCs w:val="24"/>
        </w:rPr>
        <w:t>退市力度明显增强</w:t>
      </w:r>
      <w:r w:rsidR="00C23039">
        <w:rPr>
          <w:rFonts w:ascii="Times New Roman" w:eastAsia="宋体" w:hAnsi="Times New Roman" w:cs="Times New Roman" w:hint="eastAsia"/>
          <w:sz w:val="24"/>
          <w:szCs w:val="24"/>
        </w:rPr>
        <w:t>。但是</w:t>
      </w:r>
      <w:r w:rsidR="00D04E7E" w:rsidRPr="000478CB">
        <w:rPr>
          <w:rFonts w:ascii="Times New Roman" w:eastAsia="宋体" w:hAnsi="Times New Roman" w:cs="Times New Roman" w:hint="eastAsia"/>
          <w:sz w:val="24"/>
          <w:szCs w:val="24"/>
        </w:rPr>
        <w:t>，</w:t>
      </w:r>
      <w:r w:rsidRPr="000478CB">
        <w:rPr>
          <w:rFonts w:ascii="Times New Roman" w:eastAsia="宋体" w:hAnsi="Times New Roman" w:cs="Times New Roman" w:hint="eastAsia"/>
          <w:sz w:val="24"/>
          <w:szCs w:val="24"/>
        </w:rPr>
        <w:t>A</w:t>
      </w:r>
      <w:proofErr w:type="gramStart"/>
      <w:r w:rsidRPr="000478CB">
        <w:rPr>
          <w:rFonts w:ascii="Times New Roman" w:eastAsia="宋体" w:hAnsi="Times New Roman" w:cs="Times New Roman" w:hint="eastAsia"/>
          <w:sz w:val="24"/>
          <w:szCs w:val="24"/>
        </w:rPr>
        <w:t>股退市率</w:t>
      </w:r>
      <w:proofErr w:type="gramEnd"/>
      <w:r w:rsidRPr="000478CB">
        <w:rPr>
          <w:rFonts w:ascii="Times New Roman" w:eastAsia="宋体" w:hAnsi="Times New Roman" w:cs="Times New Roman" w:hint="eastAsia"/>
          <w:sz w:val="24"/>
          <w:szCs w:val="24"/>
        </w:rPr>
        <w:t>仍</w:t>
      </w:r>
      <w:r w:rsidR="00410998" w:rsidRPr="000478CB">
        <w:rPr>
          <w:rFonts w:ascii="Times New Roman" w:eastAsia="宋体" w:hAnsi="Times New Roman" w:cs="Times New Roman" w:hint="eastAsia"/>
          <w:sz w:val="24"/>
          <w:szCs w:val="24"/>
        </w:rPr>
        <w:t>显著</w:t>
      </w:r>
      <w:r w:rsidRPr="000478CB">
        <w:rPr>
          <w:rFonts w:ascii="Times New Roman" w:eastAsia="宋体" w:hAnsi="Times New Roman" w:cs="Times New Roman" w:hint="eastAsia"/>
          <w:sz w:val="24"/>
          <w:szCs w:val="24"/>
        </w:rPr>
        <w:t>低于海外成熟市场，</w:t>
      </w:r>
      <w:r w:rsidR="00D04E7E" w:rsidRPr="000478CB">
        <w:rPr>
          <w:rFonts w:ascii="Times New Roman" w:eastAsia="宋体" w:hAnsi="Times New Roman" w:cs="Times New Roman" w:hint="eastAsia"/>
          <w:sz w:val="24"/>
          <w:szCs w:val="24"/>
        </w:rPr>
        <w:t>特别是</w:t>
      </w:r>
      <w:r w:rsidR="00410998" w:rsidRPr="000478CB">
        <w:rPr>
          <w:rFonts w:ascii="Times New Roman" w:eastAsia="宋体" w:hAnsi="Times New Roman" w:cs="Times New Roman" w:hint="eastAsia"/>
          <w:sz w:val="24"/>
          <w:szCs w:val="24"/>
        </w:rPr>
        <w:t>自愿退</w:t>
      </w:r>
      <w:proofErr w:type="gramStart"/>
      <w:r w:rsidR="00410998" w:rsidRPr="000478CB">
        <w:rPr>
          <w:rFonts w:ascii="Times New Roman" w:eastAsia="宋体" w:hAnsi="Times New Roman" w:cs="Times New Roman" w:hint="eastAsia"/>
          <w:sz w:val="24"/>
          <w:szCs w:val="24"/>
        </w:rPr>
        <w:t>市比例</w:t>
      </w:r>
      <w:proofErr w:type="gramEnd"/>
      <w:r w:rsidR="00410998" w:rsidRPr="000478CB">
        <w:rPr>
          <w:rFonts w:ascii="Times New Roman" w:eastAsia="宋体" w:hAnsi="Times New Roman" w:cs="Times New Roman" w:hint="eastAsia"/>
          <w:sz w:val="24"/>
          <w:szCs w:val="24"/>
        </w:rPr>
        <w:t>更</w:t>
      </w:r>
      <w:r w:rsidRPr="000478CB">
        <w:rPr>
          <w:rFonts w:ascii="Times New Roman" w:eastAsia="宋体" w:hAnsi="Times New Roman" w:cs="Times New Roman" w:hint="eastAsia"/>
          <w:sz w:val="24"/>
          <w:szCs w:val="24"/>
        </w:rPr>
        <w:t>低。如果一个资本市场缺乏顺畅有效的退出机制，那么市场就难以一种良性竞争淘汰机制，市场可能就缺乏活跃度和创新力，累积一堆“僵尸”上市公</w:t>
      </w:r>
      <w:r w:rsidR="008458DA" w:rsidRPr="000478CB">
        <w:rPr>
          <w:rFonts w:ascii="Times New Roman" w:eastAsia="宋体" w:hAnsi="Times New Roman" w:cs="Times New Roman" w:hint="eastAsia"/>
          <w:sz w:val="24"/>
          <w:szCs w:val="24"/>
        </w:rPr>
        <w:t>司</w:t>
      </w:r>
      <w:r w:rsidR="00410998" w:rsidRPr="000478CB">
        <w:rPr>
          <w:rFonts w:ascii="Times New Roman" w:eastAsia="宋体" w:hAnsi="Times New Roman" w:cs="Times New Roman" w:hint="eastAsia"/>
          <w:sz w:val="24"/>
          <w:szCs w:val="24"/>
        </w:rPr>
        <w:t>，</w:t>
      </w:r>
      <w:r w:rsidR="008458DA" w:rsidRPr="000478CB">
        <w:rPr>
          <w:rFonts w:ascii="Times New Roman" w:eastAsia="宋体" w:hAnsi="Times New Roman" w:cs="Times New Roman" w:hint="eastAsia"/>
          <w:sz w:val="24"/>
          <w:szCs w:val="24"/>
        </w:rPr>
        <w:t>弱化整个</w:t>
      </w:r>
      <w:r w:rsidRPr="000478CB">
        <w:rPr>
          <w:rFonts w:ascii="Times New Roman" w:eastAsia="宋体" w:hAnsi="Times New Roman" w:cs="Times New Roman" w:hint="eastAsia"/>
          <w:sz w:val="24"/>
          <w:szCs w:val="24"/>
        </w:rPr>
        <w:t>市场的竞争机制和创新机制，股票市场的估值水平和吸引能力</w:t>
      </w:r>
      <w:r w:rsidR="00410998" w:rsidRPr="000478CB">
        <w:rPr>
          <w:rFonts w:ascii="Times New Roman" w:eastAsia="宋体" w:hAnsi="Times New Roman" w:cs="Times New Roman" w:hint="eastAsia"/>
          <w:sz w:val="24"/>
          <w:szCs w:val="24"/>
        </w:rPr>
        <w:t>将</w:t>
      </w:r>
      <w:r w:rsidR="00C23039">
        <w:rPr>
          <w:rFonts w:ascii="Times New Roman" w:eastAsia="宋体" w:hAnsi="Times New Roman" w:cs="Times New Roman" w:hint="eastAsia"/>
          <w:sz w:val="24"/>
          <w:szCs w:val="24"/>
        </w:rPr>
        <w:t>受到负面影响。作为保持较高增长</w:t>
      </w:r>
      <w:r w:rsidRPr="000478CB">
        <w:rPr>
          <w:rFonts w:ascii="Times New Roman" w:eastAsia="宋体" w:hAnsi="Times New Roman" w:cs="Times New Roman" w:hint="eastAsia"/>
          <w:sz w:val="24"/>
          <w:szCs w:val="24"/>
        </w:rPr>
        <w:t>的发展中国家，</w:t>
      </w:r>
      <w:r w:rsidR="00C23039">
        <w:rPr>
          <w:rFonts w:ascii="Times New Roman" w:eastAsia="宋体" w:hAnsi="Times New Roman" w:cs="Times New Roman" w:hint="eastAsia"/>
          <w:sz w:val="24"/>
          <w:szCs w:val="24"/>
        </w:rPr>
        <w:t>中国</w:t>
      </w:r>
      <w:r w:rsidRPr="000478CB">
        <w:rPr>
          <w:rFonts w:ascii="Times New Roman" w:eastAsia="宋体" w:hAnsi="Times New Roman" w:cs="Times New Roman" w:hint="eastAsia"/>
          <w:sz w:val="24"/>
          <w:szCs w:val="24"/>
        </w:rPr>
        <w:t>A</w:t>
      </w:r>
      <w:proofErr w:type="gramStart"/>
      <w:r w:rsidR="00C23039">
        <w:rPr>
          <w:rFonts w:ascii="Times New Roman" w:eastAsia="宋体" w:hAnsi="Times New Roman" w:cs="Times New Roman" w:hint="eastAsia"/>
          <w:sz w:val="24"/>
          <w:szCs w:val="24"/>
        </w:rPr>
        <w:t>股</w:t>
      </w:r>
      <w:r w:rsidRPr="000478CB">
        <w:rPr>
          <w:rFonts w:ascii="Times New Roman" w:eastAsia="宋体" w:hAnsi="Times New Roman" w:cs="Times New Roman" w:hint="eastAsia"/>
          <w:sz w:val="24"/>
          <w:szCs w:val="24"/>
        </w:rPr>
        <w:t>沪深</w:t>
      </w:r>
      <w:proofErr w:type="gramEnd"/>
      <w:r w:rsidRPr="000478CB">
        <w:rPr>
          <w:rFonts w:ascii="Times New Roman" w:eastAsia="宋体" w:hAnsi="Times New Roman" w:cs="Times New Roman" w:hint="eastAsia"/>
          <w:sz w:val="24"/>
          <w:szCs w:val="24"/>
        </w:rPr>
        <w:t>300</w:t>
      </w:r>
      <w:r w:rsidR="00C23039">
        <w:rPr>
          <w:rFonts w:ascii="Times New Roman" w:eastAsia="宋体" w:hAnsi="Times New Roman" w:cs="Times New Roman" w:hint="eastAsia"/>
          <w:sz w:val="24"/>
          <w:szCs w:val="24"/>
        </w:rPr>
        <w:t>指数市盈率</w:t>
      </w:r>
      <w:r w:rsidRPr="000478CB">
        <w:rPr>
          <w:rFonts w:ascii="Times New Roman" w:eastAsia="宋体" w:hAnsi="Times New Roman" w:cs="Times New Roman" w:hint="eastAsia"/>
          <w:sz w:val="24"/>
          <w:szCs w:val="24"/>
        </w:rPr>
        <w:t>在</w:t>
      </w:r>
      <w:r w:rsidRPr="000478CB">
        <w:rPr>
          <w:rFonts w:ascii="Times New Roman" w:eastAsia="宋体" w:hAnsi="Times New Roman" w:cs="Times New Roman" w:hint="eastAsia"/>
          <w:sz w:val="24"/>
          <w:szCs w:val="24"/>
        </w:rPr>
        <w:t>2011</w:t>
      </w:r>
      <w:r w:rsidRPr="000478CB">
        <w:rPr>
          <w:rFonts w:ascii="Times New Roman" w:eastAsia="宋体" w:hAnsi="Times New Roman" w:cs="Times New Roman" w:hint="eastAsia"/>
          <w:sz w:val="24"/>
          <w:szCs w:val="24"/>
        </w:rPr>
        <w:t>年后长期低于</w:t>
      </w:r>
      <w:proofErr w:type="gramStart"/>
      <w:r w:rsidRPr="000478CB">
        <w:rPr>
          <w:rFonts w:ascii="Times New Roman" w:eastAsia="宋体" w:hAnsi="Times New Roman" w:cs="Times New Roman" w:hint="eastAsia"/>
          <w:sz w:val="24"/>
          <w:szCs w:val="24"/>
        </w:rPr>
        <w:t>美国标普</w:t>
      </w:r>
      <w:proofErr w:type="gramEnd"/>
      <w:r w:rsidRPr="000478CB">
        <w:rPr>
          <w:rFonts w:ascii="Times New Roman" w:eastAsia="宋体" w:hAnsi="Times New Roman" w:cs="Times New Roman" w:hint="eastAsia"/>
          <w:sz w:val="24"/>
          <w:szCs w:val="24"/>
        </w:rPr>
        <w:t>500</w:t>
      </w:r>
      <w:r w:rsidR="00C23039">
        <w:rPr>
          <w:rFonts w:ascii="Times New Roman" w:eastAsia="宋体" w:hAnsi="Times New Roman" w:cs="Times New Roman" w:hint="eastAsia"/>
          <w:sz w:val="24"/>
          <w:szCs w:val="24"/>
        </w:rPr>
        <w:t>指数</w:t>
      </w:r>
      <w:r w:rsidRPr="000478CB">
        <w:rPr>
          <w:rFonts w:ascii="Times New Roman" w:eastAsia="宋体" w:hAnsi="Times New Roman" w:cs="Times New Roman" w:hint="eastAsia"/>
          <w:sz w:val="24"/>
          <w:szCs w:val="24"/>
        </w:rPr>
        <w:t>市盈率（详见图</w:t>
      </w:r>
      <w:r w:rsidR="00604C59" w:rsidRPr="000478CB">
        <w:rPr>
          <w:rFonts w:ascii="Times New Roman" w:eastAsia="宋体" w:hAnsi="Times New Roman" w:cs="Times New Roman" w:hint="eastAsia"/>
          <w:sz w:val="24"/>
          <w:szCs w:val="24"/>
        </w:rPr>
        <w:t>5</w:t>
      </w:r>
      <w:r w:rsidRPr="000478CB">
        <w:rPr>
          <w:rFonts w:ascii="Times New Roman" w:eastAsia="宋体" w:hAnsi="Times New Roman" w:cs="Times New Roman" w:hint="eastAsia"/>
          <w:sz w:val="24"/>
          <w:szCs w:val="24"/>
        </w:rPr>
        <w:t>）。这</w:t>
      </w:r>
      <w:r w:rsidR="00735789">
        <w:rPr>
          <w:rFonts w:ascii="Times New Roman" w:eastAsia="宋体" w:hAnsi="Times New Roman" w:cs="Times New Roman" w:hint="eastAsia"/>
          <w:sz w:val="24"/>
          <w:szCs w:val="24"/>
        </w:rPr>
        <w:t>虽然</w:t>
      </w:r>
      <w:r w:rsidRPr="000478CB">
        <w:rPr>
          <w:rFonts w:ascii="Times New Roman" w:eastAsia="宋体" w:hAnsi="Times New Roman" w:cs="Times New Roman" w:hint="eastAsia"/>
          <w:sz w:val="24"/>
          <w:szCs w:val="24"/>
        </w:rPr>
        <w:t>是发展中的问题，但</w:t>
      </w:r>
      <w:r w:rsidR="00735789">
        <w:rPr>
          <w:rFonts w:ascii="Times New Roman" w:eastAsia="宋体" w:hAnsi="Times New Roman" w:cs="Times New Roman" w:hint="eastAsia"/>
          <w:sz w:val="24"/>
          <w:szCs w:val="24"/>
        </w:rPr>
        <w:t>也</w:t>
      </w:r>
      <w:r w:rsidRPr="000478CB">
        <w:rPr>
          <w:rFonts w:ascii="Times New Roman" w:eastAsia="宋体" w:hAnsi="Times New Roman" w:cs="Times New Roman" w:hint="eastAsia"/>
          <w:sz w:val="24"/>
          <w:szCs w:val="24"/>
        </w:rPr>
        <w:t>从一个侧面反映</w:t>
      </w:r>
      <w:r w:rsidRPr="000478CB">
        <w:rPr>
          <w:rFonts w:ascii="Times New Roman" w:eastAsia="宋体" w:hAnsi="Times New Roman" w:cs="Times New Roman" w:hint="eastAsia"/>
          <w:sz w:val="24"/>
          <w:szCs w:val="24"/>
        </w:rPr>
        <w:t>A</w:t>
      </w:r>
      <w:proofErr w:type="gramStart"/>
      <w:r w:rsidRPr="000478CB">
        <w:rPr>
          <w:rFonts w:ascii="Times New Roman" w:eastAsia="宋体" w:hAnsi="Times New Roman" w:cs="Times New Roman" w:hint="eastAsia"/>
          <w:sz w:val="24"/>
          <w:szCs w:val="24"/>
        </w:rPr>
        <w:t>股</w:t>
      </w:r>
      <w:r w:rsidR="00410998" w:rsidRPr="000478CB">
        <w:rPr>
          <w:rFonts w:ascii="Times New Roman" w:eastAsia="宋体" w:hAnsi="Times New Roman" w:cs="Times New Roman" w:hint="eastAsia"/>
          <w:sz w:val="24"/>
          <w:szCs w:val="24"/>
        </w:rPr>
        <w:t>退市</w:t>
      </w:r>
      <w:r w:rsidR="00A35FB8">
        <w:rPr>
          <w:rFonts w:ascii="Times New Roman" w:eastAsia="宋体" w:hAnsi="Times New Roman" w:cs="Times New Roman" w:hint="eastAsia"/>
          <w:sz w:val="24"/>
          <w:szCs w:val="24"/>
        </w:rPr>
        <w:t>制</w:t>
      </w:r>
      <w:proofErr w:type="gramEnd"/>
      <w:r w:rsidR="00A35FB8">
        <w:rPr>
          <w:rFonts w:ascii="Times New Roman" w:eastAsia="宋体" w:hAnsi="Times New Roman" w:cs="Times New Roman" w:hint="eastAsia"/>
          <w:sz w:val="24"/>
          <w:szCs w:val="24"/>
        </w:rPr>
        <w:t>度及其实施仍有待进一步完善</w:t>
      </w:r>
      <w:r w:rsidRPr="000478CB">
        <w:rPr>
          <w:rFonts w:ascii="Times New Roman" w:eastAsia="宋体" w:hAnsi="Times New Roman" w:cs="Times New Roman" w:hint="eastAsia"/>
          <w:sz w:val="24"/>
          <w:szCs w:val="24"/>
        </w:rPr>
        <w:t>。</w:t>
      </w:r>
    </w:p>
    <w:p w14:paraId="6699BF1C" w14:textId="77777777" w:rsidR="00B662CB" w:rsidRDefault="00B662CB" w:rsidP="00AF0AF5">
      <w:pPr>
        <w:adjustRightInd w:val="0"/>
        <w:snapToGrid w:val="0"/>
        <w:spacing w:before="100" w:beforeAutospacing="1" w:after="100" w:afterAutospacing="1" w:line="360" w:lineRule="auto"/>
        <w:rPr>
          <w:rFonts w:ascii="Times New Roman" w:eastAsia="宋体" w:hAnsi="Times New Roman" w:cs="Times New Roman"/>
          <w:szCs w:val="21"/>
        </w:rPr>
      </w:pPr>
      <w:r>
        <w:rPr>
          <w:noProof/>
        </w:rPr>
        <w:drawing>
          <wp:inline distT="0" distB="0" distL="0" distR="0" wp14:anchorId="2E800224" wp14:editId="7FDEFAA3">
            <wp:extent cx="2576339" cy="2095778"/>
            <wp:effectExtent l="0" t="0" r="14605" b="1905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Times New Roman" w:eastAsia="宋体" w:hAnsi="Times New Roman" w:cs="Times New Roman" w:hint="eastAsia"/>
          <w:szCs w:val="21"/>
        </w:rPr>
        <w:t xml:space="preserve"> </w:t>
      </w:r>
      <w:r>
        <w:rPr>
          <w:noProof/>
        </w:rPr>
        <w:drawing>
          <wp:inline distT="0" distB="0" distL="0" distR="0" wp14:anchorId="28423E12" wp14:editId="1D08EA00">
            <wp:extent cx="2562989" cy="2102453"/>
            <wp:effectExtent l="0" t="0" r="15240" b="635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345795A" w14:textId="3FC9B6E0" w:rsidR="00B662CB" w:rsidRPr="00264301" w:rsidRDefault="00B662CB"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sidRPr="00264301">
        <w:rPr>
          <w:rFonts w:ascii="Times New Roman" w:eastAsia="宋体" w:hAnsi="Times New Roman" w:cs="Times New Roman" w:hint="eastAsia"/>
          <w:sz w:val="24"/>
          <w:szCs w:val="24"/>
        </w:rPr>
        <w:t>图</w:t>
      </w:r>
      <w:r w:rsidR="00604C59" w:rsidRPr="00264301">
        <w:rPr>
          <w:rFonts w:ascii="Times New Roman" w:eastAsia="宋体" w:hAnsi="Times New Roman" w:cs="Times New Roman" w:hint="eastAsia"/>
          <w:sz w:val="24"/>
          <w:szCs w:val="24"/>
        </w:rPr>
        <w:t>4</w:t>
      </w:r>
      <w:r w:rsidRPr="00264301">
        <w:rPr>
          <w:rFonts w:ascii="Times New Roman" w:eastAsia="宋体" w:hAnsi="Times New Roman" w:cs="Times New Roman" w:hint="eastAsia"/>
          <w:sz w:val="24"/>
          <w:szCs w:val="24"/>
        </w:rPr>
        <w:t xml:space="preserve"> </w:t>
      </w:r>
      <w:r w:rsidRPr="00264301">
        <w:rPr>
          <w:rFonts w:ascii="Times New Roman" w:eastAsia="宋体" w:hAnsi="Times New Roman" w:cs="Times New Roman" w:hint="eastAsia"/>
          <w:sz w:val="24"/>
          <w:szCs w:val="24"/>
        </w:rPr>
        <w:t>中美股市</w:t>
      </w:r>
      <w:proofErr w:type="gramStart"/>
      <w:r w:rsidRPr="00264301">
        <w:rPr>
          <w:rFonts w:ascii="Times New Roman" w:eastAsia="宋体" w:hAnsi="Times New Roman" w:cs="Times New Roman" w:hint="eastAsia"/>
          <w:sz w:val="24"/>
          <w:szCs w:val="24"/>
        </w:rPr>
        <w:t>退市率比较</w:t>
      </w:r>
      <w:proofErr w:type="gramEnd"/>
      <w:r w:rsidRPr="00264301">
        <w:rPr>
          <w:rFonts w:ascii="Times New Roman" w:eastAsia="宋体" w:hAnsi="Times New Roman" w:cs="Times New Roman" w:hint="eastAsia"/>
          <w:sz w:val="24"/>
          <w:szCs w:val="24"/>
        </w:rPr>
        <w:t xml:space="preserve">         </w:t>
      </w:r>
      <w:r w:rsidRPr="00264301">
        <w:rPr>
          <w:rFonts w:ascii="Times New Roman" w:eastAsia="宋体" w:hAnsi="Times New Roman" w:cs="Times New Roman" w:hint="eastAsia"/>
          <w:sz w:val="24"/>
          <w:szCs w:val="24"/>
        </w:rPr>
        <w:t>图</w:t>
      </w:r>
      <w:r w:rsidR="00604C59" w:rsidRPr="00264301">
        <w:rPr>
          <w:rFonts w:ascii="Times New Roman" w:eastAsia="宋体" w:hAnsi="Times New Roman" w:cs="Times New Roman" w:hint="eastAsia"/>
          <w:sz w:val="24"/>
          <w:szCs w:val="24"/>
        </w:rPr>
        <w:t>5</w:t>
      </w:r>
      <w:r w:rsidRPr="00264301">
        <w:rPr>
          <w:rFonts w:ascii="Times New Roman" w:eastAsia="宋体" w:hAnsi="Times New Roman" w:cs="Times New Roman" w:hint="eastAsia"/>
          <w:sz w:val="24"/>
          <w:szCs w:val="24"/>
        </w:rPr>
        <w:t xml:space="preserve"> </w:t>
      </w:r>
      <w:r w:rsidRPr="00264301">
        <w:rPr>
          <w:rFonts w:ascii="Times New Roman" w:eastAsia="宋体" w:hAnsi="Times New Roman" w:cs="Times New Roman" w:hint="eastAsia"/>
          <w:sz w:val="24"/>
          <w:szCs w:val="24"/>
        </w:rPr>
        <w:t>沪深</w:t>
      </w:r>
      <w:r w:rsidRPr="00264301">
        <w:rPr>
          <w:rFonts w:ascii="Times New Roman" w:eastAsia="宋体" w:hAnsi="Times New Roman" w:cs="Times New Roman" w:hint="eastAsia"/>
          <w:sz w:val="24"/>
          <w:szCs w:val="24"/>
        </w:rPr>
        <w:t>300</w:t>
      </w:r>
      <w:proofErr w:type="gramStart"/>
      <w:r w:rsidRPr="00264301">
        <w:rPr>
          <w:rFonts w:ascii="Times New Roman" w:eastAsia="宋体" w:hAnsi="Times New Roman" w:cs="Times New Roman" w:hint="eastAsia"/>
          <w:sz w:val="24"/>
          <w:szCs w:val="24"/>
        </w:rPr>
        <w:t>与标普</w:t>
      </w:r>
      <w:proofErr w:type="gramEnd"/>
      <w:r w:rsidRPr="00264301">
        <w:rPr>
          <w:rFonts w:ascii="Times New Roman" w:eastAsia="宋体" w:hAnsi="Times New Roman" w:cs="Times New Roman" w:hint="eastAsia"/>
          <w:sz w:val="24"/>
          <w:szCs w:val="24"/>
        </w:rPr>
        <w:t>500</w:t>
      </w:r>
      <w:r w:rsidRPr="00264301">
        <w:rPr>
          <w:rFonts w:ascii="Times New Roman" w:eastAsia="宋体" w:hAnsi="Times New Roman" w:cs="Times New Roman" w:hint="eastAsia"/>
          <w:sz w:val="24"/>
          <w:szCs w:val="24"/>
        </w:rPr>
        <w:t>市盈率比较</w:t>
      </w:r>
    </w:p>
    <w:p w14:paraId="0B4D45EB" w14:textId="34976089" w:rsidR="00B662CB" w:rsidRPr="00183959" w:rsidRDefault="00B662CB" w:rsidP="00AF0AF5">
      <w:pPr>
        <w:spacing w:line="360" w:lineRule="auto"/>
        <w:ind w:firstLineChars="200" w:firstLine="420"/>
        <w:rPr>
          <w:rFonts w:ascii="Times New Roman" w:eastAsia="宋体" w:hAnsi="Times New Roman" w:cs="Times New Roman"/>
          <w:szCs w:val="21"/>
        </w:rPr>
      </w:pPr>
      <w:r w:rsidRPr="00183959">
        <w:rPr>
          <w:rFonts w:ascii="Times New Roman" w:eastAsia="宋体" w:hAnsi="Times New Roman" w:cs="Times New Roman" w:hint="eastAsia"/>
          <w:szCs w:val="21"/>
        </w:rPr>
        <w:t>资料来源：</w:t>
      </w:r>
      <w:r w:rsidR="00183959">
        <w:rPr>
          <w:rFonts w:ascii="Times New Roman" w:eastAsia="宋体" w:hAnsi="Times New Roman" w:cs="Times New Roman" w:hint="eastAsia"/>
          <w:szCs w:val="21"/>
        </w:rPr>
        <w:t>W</w:t>
      </w:r>
      <w:r w:rsidRPr="00183959">
        <w:rPr>
          <w:rFonts w:ascii="Times New Roman" w:eastAsia="宋体" w:hAnsi="Times New Roman" w:cs="Times New Roman" w:hint="eastAsia"/>
          <w:szCs w:val="21"/>
        </w:rPr>
        <w:t>ind</w:t>
      </w:r>
      <w:r w:rsidR="00EB5A39">
        <w:rPr>
          <w:rFonts w:ascii="Times New Roman" w:eastAsia="宋体" w:hAnsi="Times New Roman" w:cs="Times New Roman" w:hint="eastAsia"/>
          <w:szCs w:val="21"/>
        </w:rPr>
        <w:t>。</w:t>
      </w:r>
    </w:p>
    <w:p w14:paraId="39BACC9B" w14:textId="77777777" w:rsidR="00253087" w:rsidRDefault="00253087"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p>
    <w:p w14:paraId="7388C959" w14:textId="4E554EBF" w:rsidR="00EA2004" w:rsidRPr="000478CB" w:rsidRDefault="005C17FC"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sidRPr="000478CB">
        <w:rPr>
          <w:rFonts w:ascii="Times New Roman" w:eastAsia="宋体" w:hAnsi="Times New Roman" w:cs="Times New Roman" w:hint="eastAsia"/>
          <w:sz w:val="24"/>
          <w:szCs w:val="24"/>
        </w:rPr>
        <w:t>开放性与</w:t>
      </w:r>
      <w:r w:rsidR="001F3E08" w:rsidRPr="000478CB">
        <w:rPr>
          <w:rFonts w:ascii="Times New Roman" w:eastAsia="宋体" w:hAnsi="Times New Roman" w:cs="Times New Roman" w:hint="eastAsia"/>
          <w:sz w:val="24"/>
          <w:szCs w:val="24"/>
        </w:rPr>
        <w:t>国际化是强大资本市场的第三个重要特征。</w:t>
      </w:r>
      <w:r w:rsidR="00241DCE" w:rsidRPr="000478CB">
        <w:rPr>
          <w:rFonts w:ascii="Times New Roman" w:eastAsia="宋体" w:hAnsi="Times New Roman" w:cs="Times New Roman" w:hint="eastAsia"/>
          <w:sz w:val="24"/>
          <w:szCs w:val="24"/>
        </w:rPr>
        <w:t>只有一个国家的金融市场具有足够的开放性，才能有效吸纳金融机构、资金和人才，发挥金融要素的集</w:t>
      </w:r>
      <w:r w:rsidR="00241DCE" w:rsidRPr="000478CB">
        <w:rPr>
          <w:rFonts w:ascii="Times New Roman" w:eastAsia="宋体" w:hAnsi="Times New Roman" w:cs="Times New Roman" w:hint="eastAsia"/>
          <w:sz w:val="24"/>
          <w:szCs w:val="24"/>
        </w:rPr>
        <w:lastRenderedPageBreak/>
        <w:t>聚效应、规模经济和范围经济，形成国际化配置能力，凸显金融国际竞争力</w:t>
      </w:r>
      <w:r w:rsidR="001F3E08" w:rsidRPr="000478CB">
        <w:rPr>
          <w:rFonts w:ascii="Times New Roman" w:eastAsia="宋体" w:hAnsi="Times New Roman" w:cs="Times New Roman" w:hint="eastAsia"/>
          <w:sz w:val="24"/>
          <w:szCs w:val="24"/>
        </w:rPr>
        <w:t>。</w:t>
      </w:r>
      <w:r w:rsidRPr="000478CB">
        <w:rPr>
          <w:rFonts w:ascii="Times New Roman" w:eastAsia="宋体" w:hAnsi="Times New Roman" w:cs="Times New Roman" w:hint="eastAsia"/>
          <w:sz w:val="24"/>
          <w:szCs w:val="24"/>
        </w:rPr>
        <w:t>强大资本市场无一例外是开放的。中国也一直强调“金融开放的大门只会越开越大”。</w:t>
      </w:r>
      <w:r w:rsidR="001F3E08" w:rsidRPr="000478CB">
        <w:rPr>
          <w:rFonts w:ascii="Times New Roman" w:eastAsia="宋体" w:hAnsi="Times New Roman" w:cs="Times New Roman" w:hint="eastAsia"/>
          <w:sz w:val="24"/>
          <w:szCs w:val="24"/>
        </w:rPr>
        <w:t>加入世界贸易组织以后，中国资本市场逐步建立了合格境外机构投资者制度（</w:t>
      </w:r>
      <w:r w:rsidR="001F3E08" w:rsidRPr="000478CB">
        <w:rPr>
          <w:rFonts w:ascii="Times New Roman" w:eastAsia="宋体" w:hAnsi="Times New Roman" w:cs="Times New Roman" w:hint="eastAsia"/>
          <w:sz w:val="24"/>
          <w:szCs w:val="24"/>
        </w:rPr>
        <w:t>QFII</w:t>
      </w:r>
      <w:r w:rsidR="00A35FB8">
        <w:rPr>
          <w:rFonts w:ascii="Times New Roman" w:eastAsia="宋体" w:hAnsi="Times New Roman" w:cs="Times New Roman" w:hint="eastAsia"/>
          <w:sz w:val="24"/>
          <w:szCs w:val="24"/>
        </w:rPr>
        <w:t>）、合格</w:t>
      </w:r>
      <w:r w:rsidR="001F3E08" w:rsidRPr="000478CB">
        <w:rPr>
          <w:rFonts w:ascii="Times New Roman" w:eastAsia="宋体" w:hAnsi="Times New Roman" w:cs="Times New Roman" w:hint="eastAsia"/>
          <w:sz w:val="24"/>
          <w:szCs w:val="24"/>
        </w:rPr>
        <w:t>境内机构投资者制度（</w:t>
      </w:r>
      <w:r w:rsidR="001F3E08" w:rsidRPr="000478CB">
        <w:rPr>
          <w:rFonts w:ascii="Times New Roman" w:eastAsia="宋体" w:hAnsi="Times New Roman" w:cs="Times New Roman" w:hint="eastAsia"/>
          <w:sz w:val="24"/>
          <w:szCs w:val="24"/>
        </w:rPr>
        <w:t>QDII</w:t>
      </w:r>
      <w:r w:rsidR="001F3E08" w:rsidRPr="000478CB">
        <w:rPr>
          <w:rFonts w:ascii="Times New Roman" w:eastAsia="宋体" w:hAnsi="Times New Roman" w:cs="Times New Roman" w:hint="eastAsia"/>
          <w:sz w:val="24"/>
          <w:szCs w:val="24"/>
        </w:rPr>
        <w:t>）、人民币合格境外投资</w:t>
      </w:r>
      <w:r w:rsidR="00A35FB8">
        <w:rPr>
          <w:rFonts w:ascii="Times New Roman" w:eastAsia="宋体" w:hAnsi="Times New Roman" w:cs="Times New Roman" w:hint="eastAsia"/>
          <w:sz w:val="24"/>
          <w:szCs w:val="24"/>
        </w:rPr>
        <w:t>者</w:t>
      </w:r>
      <w:r w:rsidR="001F3E08" w:rsidRPr="000478CB">
        <w:rPr>
          <w:rFonts w:ascii="Times New Roman" w:eastAsia="宋体" w:hAnsi="Times New Roman" w:cs="Times New Roman" w:hint="eastAsia"/>
          <w:sz w:val="24"/>
          <w:szCs w:val="24"/>
        </w:rPr>
        <w:t>制度（</w:t>
      </w:r>
      <w:r w:rsidR="001F3E08" w:rsidRPr="000478CB">
        <w:rPr>
          <w:rFonts w:ascii="Times New Roman" w:eastAsia="宋体" w:hAnsi="Times New Roman" w:cs="Times New Roman" w:hint="eastAsia"/>
          <w:sz w:val="24"/>
          <w:szCs w:val="24"/>
        </w:rPr>
        <w:t>RQFII</w:t>
      </w:r>
      <w:r w:rsidR="001F3E08" w:rsidRPr="000478CB">
        <w:rPr>
          <w:rFonts w:ascii="Times New Roman" w:eastAsia="宋体" w:hAnsi="Times New Roman" w:cs="Times New Roman" w:hint="eastAsia"/>
          <w:sz w:val="24"/>
          <w:szCs w:val="24"/>
        </w:rPr>
        <w:t>）、股票通、债券通、跨境理财通、互换通等具有中国特色的</w:t>
      </w:r>
      <w:r w:rsidR="00A00578" w:rsidRPr="000478CB">
        <w:rPr>
          <w:rFonts w:ascii="Times New Roman" w:eastAsia="宋体" w:hAnsi="Times New Roman" w:cs="Times New Roman" w:hint="eastAsia"/>
          <w:sz w:val="24"/>
          <w:szCs w:val="24"/>
        </w:rPr>
        <w:t>“管道式”</w:t>
      </w:r>
      <w:r w:rsidR="00241DCE" w:rsidRPr="000478CB">
        <w:rPr>
          <w:rFonts w:ascii="Times New Roman" w:eastAsia="宋体" w:hAnsi="Times New Roman" w:cs="Times New Roman" w:hint="eastAsia"/>
          <w:sz w:val="24"/>
          <w:szCs w:val="24"/>
        </w:rPr>
        <w:t>开放机制，资本市场内外互动不断深化。</w:t>
      </w:r>
      <w:r w:rsidR="00A35FB8">
        <w:rPr>
          <w:rFonts w:ascii="Times New Roman" w:eastAsia="宋体" w:hAnsi="Times New Roman" w:cs="Times New Roman" w:hint="eastAsia"/>
          <w:sz w:val="24"/>
          <w:szCs w:val="24"/>
        </w:rPr>
        <w:t>当前，</w:t>
      </w:r>
      <w:r w:rsidR="00241DCE" w:rsidRPr="000478CB">
        <w:rPr>
          <w:rFonts w:ascii="Times New Roman" w:eastAsia="宋体" w:hAnsi="Times New Roman" w:cs="Times New Roman" w:hint="eastAsia"/>
          <w:sz w:val="24"/>
          <w:szCs w:val="24"/>
        </w:rPr>
        <w:t>中国</w:t>
      </w:r>
      <w:r w:rsidR="001F3E08" w:rsidRPr="000478CB">
        <w:rPr>
          <w:rFonts w:ascii="Times New Roman" w:eastAsia="宋体" w:hAnsi="Times New Roman" w:cs="Times New Roman" w:hint="eastAsia"/>
          <w:sz w:val="24"/>
          <w:szCs w:val="24"/>
        </w:rPr>
        <w:t>资本市场已成为全球第二大资本市场，但是，对比其他发达市场，开放</w:t>
      </w:r>
      <w:r w:rsidR="00A35FB8">
        <w:rPr>
          <w:rFonts w:ascii="Times New Roman" w:eastAsia="宋体" w:hAnsi="Times New Roman" w:cs="Times New Roman" w:hint="eastAsia"/>
          <w:sz w:val="24"/>
          <w:szCs w:val="24"/>
        </w:rPr>
        <w:t>度和国际化仍有待</w:t>
      </w:r>
      <w:r w:rsidR="001F3E08" w:rsidRPr="000478CB">
        <w:rPr>
          <w:rFonts w:ascii="Times New Roman" w:eastAsia="宋体" w:hAnsi="Times New Roman" w:cs="Times New Roman" w:hint="eastAsia"/>
          <w:sz w:val="24"/>
          <w:szCs w:val="24"/>
        </w:rPr>
        <w:t>提升。</w:t>
      </w:r>
      <w:r w:rsidR="00A00578" w:rsidRPr="000478CB">
        <w:rPr>
          <w:rFonts w:ascii="Times New Roman" w:eastAsia="宋体" w:hAnsi="Times New Roman" w:cs="Times New Roman" w:hint="eastAsia"/>
          <w:sz w:val="24"/>
          <w:szCs w:val="24"/>
        </w:rPr>
        <w:t>资本市场开放度有多重衡量指标，但较为实质</w:t>
      </w:r>
      <w:r w:rsidR="00A35FB8">
        <w:rPr>
          <w:rFonts w:ascii="Times New Roman" w:eastAsia="宋体" w:hAnsi="Times New Roman" w:cs="Times New Roman" w:hint="eastAsia"/>
          <w:sz w:val="24"/>
          <w:szCs w:val="24"/>
        </w:rPr>
        <w:t>的指标</w:t>
      </w:r>
      <w:r w:rsidR="00E7485E" w:rsidRPr="000478CB">
        <w:rPr>
          <w:rFonts w:ascii="Times New Roman" w:eastAsia="宋体" w:hAnsi="Times New Roman" w:cs="Times New Roman" w:hint="eastAsia"/>
          <w:sz w:val="24"/>
          <w:szCs w:val="24"/>
        </w:rPr>
        <w:t>主要体现在两个方面</w:t>
      </w:r>
      <w:r w:rsidR="00EA2004" w:rsidRPr="000478CB">
        <w:rPr>
          <w:rFonts w:ascii="Times New Roman" w:eastAsia="宋体" w:hAnsi="Times New Roman" w:cs="Times New Roman" w:hint="eastAsia"/>
          <w:sz w:val="24"/>
          <w:szCs w:val="24"/>
        </w:rPr>
        <w:t>。</w:t>
      </w:r>
      <w:r w:rsidR="00A35FB8">
        <w:rPr>
          <w:rFonts w:ascii="Times New Roman" w:eastAsia="宋体" w:hAnsi="Times New Roman" w:cs="Times New Roman" w:hint="eastAsia"/>
          <w:sz w:val="24"/>
          <w:szCs w:val="24"/>
        </w:rPr>
        <w:t>一是上市公司</w:t>
      </w:r>
      <w:r w:rsidR="00E7485E" w:rsidRPr="000478CB">
        <w:rPr>
          <w:rFonts w:ascii="Times New Roman" w:eastAsia="宋体" w:hAnsi="Times New Roman" w:cs="Times New Roman" w:hint="eastAsia"/>
          <w:sz w:val="24"/>
          <w:szCs w:val="24"/>
        </w:rPr>
        <w:t>国际化水平</w:t>
      </w:r>
      <w:r w:rsidR="00EA2004" w:rsidRPr="000478CB">
        <w:rPr>
          <w:rFonts w:ascii="Times New Roman" w:eastAsia="宋体" w:hAnsi="Times New Roman" w:cs="Times New Roman" w:hint="eastAsia"/>
          <w:sz w:val="24"/>
          <w:szCs w:val="24"/>
        </w:rPr>
        <w:t>。</w:t>
      </w:r>
      <w:r w:rsidR="00735789">
        <w:rPr>
          <w:rFonts w:ascii="Times New Roman" w:eastAsia="宋体" w:hAnsi="Times New Roman" w:cs="Times New Roman" w:hint="eastAsia"/>
          <w:sz w:val="24"/>
          <w:szCs w:val="24"/>
        </w:rPr>
        <w:t>如</w:t>
      </w:r>
      <w:r w:rsidR="00EA2004" w:rsidRPr="000478CB">
        <w:rPr>
          <w:rFonts w:ascii="Times New Roman" w:eastAsia="宋体" w:hAnsi="Times New Roman" w:cs="Times New Roman" w:hint="eastAsia"/>
          <w:sz w:val="24"/>
          <w:szCs w:val="24"/>
        </w:rPr>
        <w:t>2024</w:t>
      </w:r>
      <w:r w:rsidR="00EA2004" w:rsidRPr="000478CB">
        <w:rPr>
          <w:rFonts w:ascii="Times New Roman" w:eastAsia="宋体" w:hAnsi="Times New Roman" w:cs="Times New Roman" w:hint="eastAsia"/>
          <w:sz w:val="24"/>
          <w:szCs w:val="24"/>
        </w:rPr>
        <w:t>年末，纽约证券交易所和纳斯达克交易所外国公司数量分别为</w:t>
      </w:r>
      <w:r w:rsidR="00EA2004" w:rsidRPr="000478CB">
        <w:rPr>
          <w:rFonts w:ascii="Times New Roman" w:eastAsia="宋体" w:hAnsi="Times New Roman" w:cs="Times New Roman" w:hint="eastAsia"/>
          <w:sz w:val="24"/>
          <w:szCs w:val="24"/>
        </w:rPr>
        <w:t>548</w:t>
      </w:r>
      <w:r w:rsidR="00EA2004" w:rsidRPr="000478CB">
        <w:rPr>
          <w:rFonts w:ascii="Times New Roman" w:eastAsia="宋体" w:hAnsi="Times New Roman" w:cs="Times New Roman" w:hint="eastAsia"/>
          <w:sz w:val="24"/>
          <w:szCs w:val="24"/>
        </w:rPr>
        <w:t>家和</w:t>
      </w:r>
      <w:r w:rsidR="00EA2004" w:rsidRPr="000478CB">
        <w:rPr>
          <w:rFonts w:ascii="Times New Roman" w:eastAsia="宋体" w:hAnsi="Times New Roman" w:cs="Times New Roman" w:hint="eastAsia"/>
          <w:sz w:val="24"/>
          <w:szCs w:val="24"/>
        </w:rPr>
        <w:t>864</w:t>
      </w:r>
      <w:r w:rsidR="00EA2004" w:rsidRPr="000478CB">
        <w:rPr>
          <w:rFonts w:ascii="Times New Roman" w:eastAsia="宋体" w:hAnsi="Times New Roman" w:cs="Times New Roman" w:hint="eastAsia"/>
          <w:sz w:val="24"/>
          <w:szCs w:val="24"/>
        </w:rPr>
        <w:t>家，占比分别为</w:t>
      </w:r>
      <w:r w:rsidR="00EA2004" w:rsidRPr="000478CB">
        <w:rPr>
          <w:rFonts w:ascii="Times New Roman" w:eastAsia="宋体" w:hAnsi="Times New Roman" w:cs="Times New Roman" w:hint="eastAsia"/>
          <w:sz w:val="24"/>
          <w:szCs w:val="24"/>
        </w:rPr>
        <w:t>34.6%</w:t>
      </w:r>
      <w:r w:rsidR="00EA2004" w:rsidRPr="000478CB">
        <w:rPr>
          <w:rFonts w:ascii="Times New Roman" w:eastAsia="宋体" w:hAnsi="Times New Roman" w:cs="Times New Roman" w:hint="eastAsia"/>
          <w:sz w:val="24"/>
          <w:szCs w:val="24"/>
        </w:rPr>
        <w:t>和</w:t>
      </w:r>
      <w:r w:rsidR="00EA2004" w:rsidRPr="000478CB">
        <w:rPr>
          <w:rFonts w:ascii="Times New Roman" w:eastAsia="宋体" w:hAnsi="Times New Roman" w:cs="Times New Roman" w:hint="eastAsia"/>
          <w:sz w:val="24"/>
          <w:szCs w:val="24"/>
        </w:rPr>
        <w:t>35.63%</w:t>
      </w:r>
      <w:r w:rsidR="00EA2004" w:rsidRPr="000478CB">
        <w:rPr>
          <w:rFonts w:ascii="Times New Roman" w:eastAsia="宋体" w:hAnsi="Times New Roman" w:cs="Times New Roman" w:hint="eastAsia"/>
          <w:sz w:val="24"/>
          <w:szCs w:val="24"/>
        </w:rPr>
        <w:t>（</w:t>
      </w:r>
      <w:r w:rsidR="00303ECC">
        <w:rPr>
          <w:rFonts w:ascii="Times New Roman" w:eastAsia="宋体" w:hAnsi="Times New Roman" w:cs="Times New Roman" w:hint="eastAsia"/>
          <w:sz w:val="24"/>
          <w:szCs w:val="24"/>
        </w:rPr>
        <w:t>详</w:t>
      </w:r>
      <w:r w:rsidR="00EA2004" w:rsidRPr="000478CB">
        <w:rPr>
          <w:rFonts w:ascii="Times New Roman" w:eastAsia="宋体" w:hAnsi="Times New Roman" w:cs="Times New Roman" w:hint="eastAsia"/>
          <w:sz w:val="24"/>
          <w:szCs w:val="24"/>
        </w:rPr>
        <w:t>见图</w:t>
      </w:r>
      <w:r w:rsidR="00604C59" w:rsidRPr="000478CB">
        <w:rPr>
          <w:rFonts w:ascii="Times New Roman" w:eastAsia="宋体" w:hAnsi="Times New Roman" w:cs="Times New Roman" w:hint="eastAsia"/>
          <w:sz w:val="24"/>
          <w:szCs w:val="24"/>
        </w:rPr>
        <w:t>6</w:t>
      </w:r>
      <w:r w:rsidR="00EA2004" w:rsidRPr="000478CB">
        <w:rPr>
          <w:rFonts w:ascii="Times New Roman" w:eastAsia="宋体" w:hAnsi="Times New Roman" w:cs="Times New Roman" w:hint="eastAsia"/>
          <w:sz w:val="24"/>
          <w:szCs w:val="24"/>
        </w:rPr>
        <w:t>）。</w:t>
      </w:r>
      <w:r w:rsidR="00A35FB8">
        <w:rPr>
          <w:rFonts w:ascii="Times New Roman" w:eastAsia="宋体" w:hAnsi="Times New Roman" w:cs="Times New Roman" w:hint="eastAsia"/>
          <w:sz w:val="24"/>
          <w:szCs w:val="24"/>
        </w:rPr>
        <w:t>二是投资者</w:t>
      </w:r>
      <w:r w:rsidR="00E7485E" w:rsidRPr="000478CB">
        <w:rPr>
          <w:rFonts w:ascii="Times New Roman" w:eastAsia="宋体" w:hAnsi="Times New Roman" w:cs="Times New Roman" w:hint="eastAsia"/>
          <w:sz w:val="24"/>
          <w:szCs w:val="24"/>
        </w:rPr>
        <w:t>国际化水平。</w:t>
      </w:r>
      <w:r w:rsidR="00B83CE0" w:rsidRPr="000478CB">
        <w:rPr>
          <w:rFonts w:ascii="Times New Roman" w:eastAsia="宋体" w:hAnsi="Times New Roman" w:cs="Times New Roman" w:hint="eastAsia"/>
          <w:sz w:val="24"/>
          <w:szCs w:val="24"/>
        </w:rPr>
        <w:t>2024</w:t>
      </w:r>
      <w:r w:rsidR="00B83CE0" w:rsidRPr="000478CB">
        <w:rPr>
          <w:rFonts w:ascii="Times New Roman" w:eastAsia="宋体" w:hAnsi="Times New Roman" w:cs="Times New Roman" w:hint="eastAsia"/>
          <w:sz w:val="24"/>
          <w:szCs w:val="24"/>
        </w:rPr>
        <w:t>年</w:t>
      </w:r>
      <w:r w:rsidR="00B83CE0" w:rsidRPr="000478CB">
        <w:rPr>
          <w:rFonts w:ascii="Times New Roman" w:eastAsia="宋体" w:hAnsi="Times New Roman" w:cs="Times New Roman" w:hint="eastAsia"/>
          <w:sz w:val="24"/>
          <w:szCs w:val="24"/>
        </w:rPr>
        <w:t>10</w:t>
      </w:r>
      <w:r w:rsidR="00B83CE0" w:rsidRPr="000478CB">
        <w:rPr>
          <w:rFonts w:ascii="Times New Roman" w:eastAsia="宋体" w:hAnsi="Times New Roman" w:cs="Times New Roman" w:hint="eastAsia"/>
          <w:sz w:val="24"/>
          <w:szCs w:val="24"/>
        </w:rPr>
        <w:t>月末，境外投资者持有美国国债</w:t>
      </w:r>
      <w:r w:rsidR="00A35FB8">
        <w:rPr>
          <w:rFonts w:ascii="Times New Roman" w:eastAsia="宋体" w:hAnsi="Times New Roman" w:cs="Times New Roman" w:hint="eastAsia"/>
          <w:sz w:val="24"/>
          <w:szCs w:val="24"/>
        </w:rPr>
        <w:t>为</w:t>
      </w:r>
      <w:r w:rsidR="00B83CE0" w:rsidRPr="000478CB">
        <w:rPr>
          <w:rFonts w:ascii="Times New Roman" w:eastAsia="宋体" w:hAnsi="Times New Roman" w:cs="Times New Roman" w:hint="eastAsia"/>
          <w:sz w:val="24"/>
          <w:szCs w:val="24"/>
        </w:rPr>
        <w:t>8.6</w:t>
      </w:r>
      <w:proofErr w:type="gramStart"/>
      <w:r w:rsidR="00B83CE0" w:rsidRPr="000478CB">
        <w:rPr>
          <w:rFonts w:ascii="Times New Roman" w:eastAsia="宋体" w:hAnsi="Times New Roman" w:cs="Times New Roman" w:hint="eastAsia"/>
          <w:sz w:val="24"/>
          <w:szCs w:val="24"/>
        </w:rPr>
        <w:t>万亿</w:t>
      </w:r>
      <w:proofErr w:type="gramEnd"/>
      <w:r w:rsidR="00B83CE0" w:rsidRPr="000478CB">
        <w:rPr>
          <w:rFonts w:ascii="Times New Roman" w:eastAsia="宋体" w:hAnsi="Times New Roman" w:cs="Times New Roman" w:hint="eastAsia"/>
          <w:sz w:val="24"/>
          <w:szCs w:val="24"/>
        </w:rPr>
        <w:t>美元，占比约为</w:t>
      </w:r>
      <w:r w:rsidR="00B83CE0" w:rsidRPr="000478CB">
        <w:rPr>
          <w:rFonts w:ascii="Times New Roman" w:eastAsia="宋体" w:hAnsi="Times New Roman" w:cs="Times New Roman" w:hint="eastAsia"/>
          <w:sz w:val="24"/>
          <w:szCs w:val="24"/>
        </w:rPr>
        <w:t>23.89%</w:t>
      </w:r>
      <w:r w:rsidRPr="002F6FDE">
        <w:rPr>
          <w:rFonts w:ascii="Times New Roman" w:hAnsi="Times New Roman" w:cs="Times New Roman"/>
          <w:sz w:val="24"/>
          <w:szCs w:val="24"/>
          <w:vertAlign w:val="superscript"/>
        </w:rPr>
        <w:footnoteReference w:id="12"/>
      </w:r>
      <w:r w:rsidR="00F561C4">
        <w:rPr>
          <w:rFonts w:ascii="Times New Roman" w:eastAsia="宋体" w:hAnsi="Times New Roman" w:cs="Times New Roman" w:hint="eastAsia"/>
          <w:sz w:val="24"/>
          <w:szCs w:val="24"/>
        </w:rPr>
        <w:t>。</w:t>
      </w:r>
      <w:r w:rsidR="00EA2004" w:rsidRPr="000478CB">
        <w:rPr>
          <w:rFonts w:ascii="Times New Roman" w:eastAsia="宋体" w:hAnsi="Times New Roman" w:cs="Times New Roman" w:hint="eastAsia"/>
          <w:sz w:val="24"/>
          <w:szCs w:val="24"/>
        </w:rPr>
        <w:t>目前，中国股票市场公开发行未对境外公司开放。截至</w:t>
      </w:r>
      <w:r w:rsidR="00EA2004" w:rsidRPr="000478CB">
        <w:rPr>
          <w:rFonts w:ascii="Times New Roman" w:eastAsia="宋体" w:hAnsi="Times New Roman" w:cs="Times New Roman" w:hint="eastAsia"/>
          <w:sz w:val="24"/>
          <w:szCs w:val="24"/>
        </w:rPr>
        <w:t>2024</w:t>
      </w:r>
      <w:r w:rsidR="00EA2004" w:rsidRPr="000478CB">
        <w:rPr>
          <w:rFonts w:ascii="Times New Roman" w:eastAsia="宋体" w:hAnsi="Times New Roman" w:cs="Times New Roman" w:hint="eastAsia"/>
          <w:sz w:val="24"/>
          <w:szCs w:val="24"/>
        </w:rPr>
        <w:t>年末，境外机构在中国银行间市场债券持有量为</w:t>
      </w:r>
      <w:r w:rsidR="00EA2004" w:rsidRPr="000478CB">
        <w:rPr>
          <w:rFonts w:ascii="Times New Roman" w:eastAsia="宋体" w:hAnsi="Times New Roman" w:cs="Times New Roman" w:hint="eastAsia"/>
          <w:sz w:val="24"/>
          <w:szCs w:val="24"/>
        </w:rPr>
        <w:t>4.6</w:t>
      </w:r>
      <w:proofErr w:type="gramStart"/>
      <w:r w:rsidR="00EA2004" w:rsidRPr="000478CB">
        <w:rPr>
          <w:rFonts w:ascii="Times New Roman" w:eastAsia="宋体" w:hAnsi="Times New Roman" w:cs="Times New Roman" w:hint="eastAsia"/>
          <w:sz w:val="24"/>
          <w:szCs w:val="24"/>
        </w:rPr>
        <w:t>万亿</w:t>
      </w:r>
      <w:proofErr w:type="gramEnd"/>
      <w:r w:rsidR="00EA2004" w:rsidRPr="000478CB">
        <w:rPr>
          <w:rFonts w:ascii="Times New Roman" w:eastAsia="宋体" w:hAnsi="Times New Roman" w:cs="Times New Roman" w:hint="eastAsia"/>
          <w:sz w:val="24"/>
          <w:szCs w:val="24"/>
        </w:rPr>
        <w:t>元</w:t>
      </w:r>
      <w:r w:rsidR="00B83CE0" w:rsidRPr="000478CB">
        <w:rPr>
          <w:rFonts w:ascii="Times New Roman" w:eastAsia="宋体" w:hAnsi="Times New Roman" w:cs="Times New Roman" w:hint="eastAsia"/>
          <w:sz w:val="24"/>
          <w:szCs w:val="24"/>
        </w:rPr>
        <w:t>（其中国债</w:t>
      </w:r>
      <w:r w:rsidR="00B83CE0" w:rsidRPr="000478CB">
        <w:rPr>
          <w:rFonts w:ascii="Times New Roman" w:eastAsia="宋体" w:hAnsi="Times New Roman" w:cs="Times New Roman" w:hint="eastAsia"/>
          <w:sz w:val="24"/>
          <w:szCs w:val="24"/>
        </w:rPr>
        <w:t>2.06</w:t>
      </w:r>
      <w:proofErr w:type="gramStart"/>
      <w:r w:rsidR="00B83CE0" w:rsidRPr="000478CB">
        <w:rPr>
          <w:rFonts w:ascii="Times New Roman" w:eastAsia="宋体" w:hAnsi="Times New Roman" w:cs="Times New Roman" w:hint="eastAsia"/>
          <w:sz w:val="24"/>
          <w:szCs w:val="24"/>
        </w:rPr>
        <w:t>万亿</w:t>
      </w:r>
      <w:proofErr w:type="gramEnd"/>
      <w:r w:rsidR="00B83CE0" w:rsidRPr="000478CB">
        <w:rPr>
          <w:rFonts w:ascii="Times New Roman" w:eastAsia="宋体" w:hAnsi="Times New Roman" w:cs="Times New Roman" w:hint="eastAsia"/>
          <w:sz w:val="24"/>
          <w:szCs w:val="24"/>
        </w:rPr>
        <w:t>元）</w:t>
      </w:r>
      <w:r w:rsidR="00EA2004" w:rsidRPr="000478CB">
        <w:rPr>
          <w:rFonts w:ascii="Times New Roman" w:eastAsia="宋体" w:hAnsi="Times New Roman" w:cs="Times New Roman" w:hint="eastAsia"/>
          <w:sz w:val="24"/>
          <w:szCs w:val="24"/>
        </w:rPr>
        <w:t>，占总托管量</w:t>
      </w:r>
      <w:r w:rsidR="00A35FB8">
        <w:rPr>
          <w:rFonts w:ascii="Times New Roman" w:eastAsia="宋体" w:hAnsi="Times New Roman" w:cs="Times New Roman" w:hint="eastAsia"/>
          <w:sz w:val="24"/>
          <w:szCs w:val="24"/>
        </w:rPr>
        <w:t>为</w:t>
      </w:r>
      <w:r w:rsidR="00EA2004" w:rsidRPr="000478CB">
        <w:rPr>
          <w:rFonts w:ascii="Times New Roman" w:eastAsia="宋体" w:hAnsi="Times New Roman" w:cs="Times New Roman" w:hint="eastAsia"/>
          <w:sz w:val="24"/>
          <w:szCs w:val="24"/>
        </w:rPr>
        <w:t>2.7%</w:t>
      </w:r>
      <w:r w:rsidRPr="00A35BFC">
        <w:rPr>
          <w:rFonts w:ascii="Times New Roman" w:hAnsi="Times New Roman" w:cs="Times New Roman"/>
          <w:sz w:val="24"/>
          <w:szCs w:val="24"/>
          <w:vertAlign w:val="superscript"/>
        </w:rPr>
        <w:footnoteReference w:id="13"/>
      </w:r>
      <w:r w:rsidR="00A35BFC">
        <w:rPr>
          <w:rFonts w:ascii="Times New Roman" w:eastAsia="宋体" w:hAnsi="Times New Roman" w:cs="Times New Roman" w:hint="eastAsia"/>
          <w:sz w:val="24"/>
          <w:szCs w:val="24"/>
        </w:rPr>
        <w:t>。</w:t>
      </w:r>
      <w:r w:rsidR="00EA2004" w:rsidRPr="000478CB">
        <w:rPr>
          <w:rFonts w:ascii="Times New Roman" w:eastAsia="宋体" w:hAnsi="Times New Roman" w:cs="Times New Roman" w:hint="eastAsia"/>
          <w:sz w:val="24"/>
          <w:szCs w:val="24"/>
        </w:rPr>
        <w:t>在美国新政府</w:t>
      </w:r>
      <w:r w:rsidR="00611341">
        <w:rPr>
          <w:rFonts w:ascii="Times New Roman" w:eastAsia="宋体" w:hAnsi="Times New Roman" w:cs="Times New Roman" w:hint="eastAsia"/>
          <w:sz w:val="24"/>
          <w:szCs w:val="24"/>
        </w:rPr>
        <w:t>就职</w:t>
      </w:r>
      <w:r w:rsidR="00EA2004" w:rsidRPr="000478CB">
        <w:rPr>
          <w:rFonts w:ascii="Times New Roman" w:eastAsia="宋体" w:hAnsi="Times New Roman" w:cs="Times New Roman" w:hint="eastAsia"/>
          <w:sz w:val="24"/>
          <w:szCs w:val="24"/>
        </w:rPr>
        <w:t>后，不管是</w:t>
      </w:r>
      <w:r w:rsidR="00A35FB8">
        <w:rPr>
          <w:rFonts w:ascii="Times New Roman" w:eastAsia="宋体" w:hAnsi="Times New Roman" w:cs="Times New Roman" w:hint="eastAsia"/>
          <w:sz w:val="24"/>
          <w:szCs w:val="24"/>
        </w:rPr>
        <w:t>内外</w:t>
      </w:r>
      <w:r w:rsidR="00EA2004" w:rsidRPr="000478CB">
        <w:rPr>
          <w:rFonts w:ascii="Times New Roman" w:eastAsia="宋体" w:hAnsi="Times New Roman" w:cs="Times New Roman" w:hint="eastAsia"/>
          <w:sz w:val="24"/>
          <w:szCs w:val="24"/>
        </w:rPr>
        <w:t>税收政策还是金融监管放松</w:t>
      </w:r>
      <w:r w:rsidR="00A35FB8">
        <w:rPr>
          <w:rFonts w:ascii="Times New Roman" w:eastAsia="宋体" w:hAnsi="Times New Roman" w:cs="Times New Roman" w:hint="eastAsia"/>
          <w:sz w:val="24"/>
          <w:szCs w:val="24"/>
        </w:rPr>
        <w:t>政策，可能使</w:t>
      </w:r>
      <w:r w:rsidR="00EA2004" w:rsidRPr="000478CB">
        <w:rPr>
          <w:rFonts w:ascii="Times New Roman" w:eastAsia="宋体" w:hAnsi="Times New Roman" w:cs="Times New Roman" w:hint="eastAsia"/>
          <w:sz w:val="24"/>
          <w:szCs w:val="24"/>
        </w:rPr>
        <w:t>国际资本</w:t>
      </w:r>
      <w:r w:rsidR="00A00578" w:rsidRPr="000478CB">
        <w:rPr>
          <w:rFonts w:ascii="Times New Roman" w:eastAsia="宋体" w:hAnsi="Times New Roman" w:cs="Times New Roman" w:hint="eastAsia"/>
          <w:sz w:val="24"/>
          <w:szCs w:val="24"/>
        </w:rPr>
        <w:t>进一步</w:t>
      </w:r>
      <w:r w:rsidR="00EA2004" w:rsidRPr="000478CB">
        <w:rPr>
          <w:rFonts w:ascii="Times New Roman" w:eastAsia="宋体" w:hAnsi="Times New Roman" w:cs="Times New Roman" w:hint="eastAsia"/>
          <w:sz w:val="24"/>
          <w:szCs w:val="24"/>
        </w:rPr>
        <w:t>回流美国，在这样的</w:t>
      </w:r>
      <w:r w:rsidR="00735789">
        <w:rPr>
          <w:rFonts w:ascii="Times New Roman" w:eastAsia="宋体" w:hAnsi="Times New Roman" w:cs="Times New Roman" w:hint="eastAsia"/>
          <w:sz w:val="24"/>
          <w:szCs w:val="24"/>
        </w:rPr>
        <w:t>国际金融</w:t>
      </w:r>
      <w:r w:rsidR="00EA2004" w:rsidRPr="000478CB">
        <w:rPr>
          <w:rFonts w:ascii="Times New Roman" w:eastAsia="宋体" w:hAnsi="Times New Roman" w:cs="Times New Roman" w:hint="eastAsia"/>
          <w:sz w:val="24"/>
          <w:szCs w:val="24"/>
        </w:rPr>
        <w:t>背景下，资本项目部分管制、中国特色“管道式”开放以及高水平金融开放</w:t>
      </w:r>
      <w:r w:rsidR="00735789">
        <w:rPr>
          <w:rFonts w:ascii="Times New Roman" w:eastAsia="宋体" w:hAnsi="Times New Roman" w:cs="Times New Roman" w:hint="eastAsia"/>
          <w:sz w:val="24"/>
          <w:szCs w:val="24"/>
        </w:rPr>
        <w:t>之间</w:t>
      </w:r>
      <w:r w:rsidR="00EA2004" w:rsidRPr="000478CB">
        <w:rPr>
          <w:rFonts w:ascii="Times New Roman" w:eastAsia="宋体" w:hAnsi="Times New Roman" w:cs="Times New Roman" w:hint="eastAsia"/>
          <w:sz w:val="24"/>
          <w:szCs w:val="24"/>
        </w:rPr>
        <w:t>的有效统筹，将是未来</w:t>
      </w:r>
      <w:r w:rsidR="007F6AE2">
        <w:rPr>
          <w:rFonts w:ascii="Times New Roman" w:eastAsia="宋体" w:hAnsi="Times New Roman" w:cs="Times New Roman" w:hint="eastAsia"/>
          <w:sz w:val="24"/>
          <w:szCs w:val="24"/>
        </w:rPr>
        <w:t>的</w:t>
      </w:r>
      <w:r w:rsidR="00EA2004" w:rsidRPr="000478CB">
        <w:rPr>
          <w:rFonts w:ascii="Times New Roman" w:eastAsia="宋体" w:hAnsi="Times New Roman" w:cs="Times New Roman" w:hint="eastAsia"/>
          <w:sz w:val="24"/>
          <w:szCs w:val="24"/>
        </w:rPr>
        <w:t>重要政策任务。</w:t>
      </w:r>
    </w:p>
    <w:p w14:paraId="363DBD75" w14:textId="08303738" w:rsidR="00E7485E" w:rsidRDefault="00E7485E" w:rsidP="00AF0AF5">
      <w:pPr>
        <w:adjustRightInd w:val="0"/>
        <w:snapToGrid w:val="0"/>
        <w:spacing w:before="100" w:beforeAutospacing="1" w:after="100" w:afterAutospacing="1" w:line="360" w:lineRule="auto"/>
        <w:rPr>
          <w:rFonts w:ascii="Times New Roman" w:eastAsia="宋体" w:hAnsi="Times New Roman" w:cs="Times New Roman"/>
          <w:szCs w:val="21"/>
        </w:rPr>
      </w:pPr>
      <w:r>
        <w:rPr>
          <w:noProof/>
        </w:rPr>
        <w:drawing>
          <wp:inline distT="0" distB="0" distL="0" distR="0" wp14:anchorId="3CC30E8D" wp14:editId="53505B4A">
            <wp:extent cx="5274310" cy="2786716"/>
            <wp:effectExtent l="0" t="0" r="21590" b="1397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82B6B41" w14:textId="7222027C" w:rsidR="00A00578" w:rsidRPr="00001F3E" w:rsidRDefault="00A00578" w:rsidP="00AF0AF5">
      <w:pPr>
        <w:adjustRightInd w:val="0"/>
        <w:snapToGrid w:val="0"/>
        <w:spacing w:before="100" w:beforeAutospacing="1" w:after="100" w:afterAutospacing="1" w:line="360" w:lineRule="auto"/>
        <w:ind w:firstLineChars="200" w:firstLine="480"/>
        <w:contextualSpacing/>
        <w:jc w:val="center"/>
        <w:rPr>
          <w:rFonts w:ascii="Times New Roman" w:eastAsia="宋体" w:hAnsi="Times New Roman" w:cs="Times New Roman"/>
          <w:sz w:val="24"/>
          <w:szCs w:val="24"/>
        </w:rPr>
      </w:pPr>
      <w:r w:rsidRPr="00001F3E">
        <w:rPr>
          <w:rFonts w:ascii="Times New Roman" w:eastAsia="宋体" w:hAnsi="Times New Roman" w:cs="Times New Roman" w:hint="eastAsia"/>
          <w:sz w:val="24"/>
          <w:szCs w:val="24"/>
        </w:rPr>
        <w:t>图</w:t>
      </w:r>
      <w:r w:rsidR="00604C59" w:rsidRPr="00001F3E">
        <w:rPr>
          <w:rFonts w:ascii="Times New Roman" w:eastAsia="宋体" w:hAnsi="Times New Roman" w:cs="Times New Roman" w:hint="eastAsia"/>
          <w:sz w:val="24"/>
          <w:szCs w:val="24"/>
        </w:rPr>
        <w:t>6</w:t>
      </w:r>
      <w:r w:rsidRPr="00001F3E">
        <w:rPr>
          <w:rFonts w:ascii="Times New Roman" w:eastAsia="宋体" w:hAnsi="Times New Roman" w:cs="Times New Roman" w:hint="eastAsia"/>
          <w:sz w:val="24"/>
          <w:szCs w:val="24"/>
        </w:rPr>
        <w:t xml:space="preserve">  </w:t>
      </w:r>
      <w:r w:rsidRPr="00001F3E">
        <w:rPr>
          <w:rFonts w:ascii="Times New Roman" w:eastAsia="宋体" w:hAnsi="Times New Roman" w:cs="Times New Roman" w:hint="eastAsia"/>
          <w:sz w:val="24"/>
          <w:szCs w:val="24"/>
        </w:rPr>
        <w:t>纽约证券交易所和纳斯达克交易所国内和外国公司数量</w:t>
      </w:r>
    </w:p>
    <w:p w14:paraId="7999F755" w14:textId="39CACFEC" w:rsidR="00E7485E" w:rsidRPr="00001F3E" w:rsidRDefault="00A00578" w:rsidP="00AF0AF5">
      <w:pPr>
        <w:spacing w:line="360" w:lineRule="auto"/>
        <w:ind w:firstLineChars="200" w:firstLine="420"/>
        <w:rPr>
          <w:rFonts w:ascii="Times New Roman" w:eastAsia="宋体" w:hAnsi="Times New Roman" w:cs="Times New Roman"/>
          <w:szCs w:val="21"/>
        </w:rPr>
      </w:pPr>
      <w:r w:rsidRPr="00001F3E">
        <w:rPr>
          <w:rFonts w:ascii="Times New Roman" w:eastAsia="宋体" w:hAnsi="Times New Roman" w:cs="Times New Roman" w:hint="eastAsia"/>
          <w:szCs w:val="21"/>
        </w:rPr>
        <w:t>资料来源：</w:t>
      </w:r>
      <w:r w:rsidRPr="00001F3E">
        <w:rPr>
          <w:rFonts w:ascii="Times New Roman" w:eastAsia="宋体" w:hAnsi="Times New Roman" w:cs="Times New Roman" w:hint="eastAsia"/>
          <w:szCs w:val="21"/>
        </w:rPr>
        <w:t>Wind</w:t>
      </w:r>
      <w:r w:rsidR="00EB5A39">
        <w:rPr>
          <w:rFonts w:ascii="Times New Roman" w:eastAsia="宋体" w:hAnsi="Times New Roman" w:cs="Times New Roman" w:hint="eastAsia"/>
          <w:szCs w:val="21"/>
        </w:rPr>
        <w:t>。</w:t>
      </w:r>
    </w:p>
    <w:p w14:paraId="68E7FEC9" w14:textId="55FA284B" w:rsidR="00043BAE" w:rsidRPr="000478CB" w:rsidRDefault="00AD6576"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最后，强大</w:t>
      </w:r>
      <w:r w:rsidR="00043BAE" w:rsidRPr="000478CB">
        <w:rPr>
          <w:rFonts w:ascii="Times New Roman" w:eastAsia="宋体" w:hAnsi="Times New Roman" w:cs="Times New Roman" w:hint="eastAsia"/>
          <w:sz w:val="24"/>
          <w:szCs w:val="24"/>
        </w:rPr>
        <w:t>资本市场需要完善的基础性制度加以保障，亟待金融法治保驾护航。</w:t>
      </w:r>
      <w:r w:rsidR="00DE140D">
        <w:rPr>
          <w:rFonts w:ascii="Times New Roman" w:eastAsia="宋体" w:hAnsi="Times New Roman" w:cs="Times New Roman" w:hint="eastAsia"/>
          <w:sz w:val="24"/>
          <w:szCs w:val="24"/>
        </w:rPr>
        <w:t>美国资本市场</w:t>
      </w:r>
      <w:r w:rsidR="00735789">
        <w:rPr>
          <w:rFonts w:ascii="Times New Roman" w:eastAsia="宋体" w:hAnsi="Times New Roman" w:cs="Times New Roman" w:hint="eastAsia"/>
          <w:sz w:val="24"/>
          <w:szCs w:val="24"/>
        </w:rPr>
        <w:t>的</w:t>
      </w:r>
      <w:r w:rsidR="00C87555" w:rsidRPr="000478CB">
        <w:rPr>
          <w:rFonts w:ascii="Times New Roman" w:eastAsia="宋体" w:hAnsi="Times New Roman" w:cs="Times New Roman" w:hint="eastAsia"/>
          <w:sz w:val="24"/>
          <w:szCs w:val="24"/>
        </w:rPr>
        <w:t>起点就是“梧桐树协议”确定的三个交易守则。中国资本市场制度建</w:t>
      </w:r>
      <w:r w:rsidR="00DE140D">
        <w:rPr>
          <w:rFonts w:ascii="Times New Roman" w:eastAsia="宋体" w:hAnsi="Times New Roman" w:cs="Times New Roman" w:hint="eastAsia"/>
          <w:sz w:val="24"/>
          <w:szCs w:val="24"/>
        </w:rPr>
        <w:t>设取得长足</w:t>
      </w:r>
      <w:r w:rsidR="00C87555" w:rsidRPr="000478CB">
        <w:rPr>
          <w:rFonts w:ascii="Times New Roman" w:eastAsia="宋体" w:hAnsi="Times New Roman" w:cs="Times New Roman" w:hint="eastAsia"/>
          <w:sz w:val="24"/>
          <w:szCs w:val="24"/>
        </w:rPr>
        <w:t>进步，但仍无法</w:t>
      </w:r>
      <w:r w:rsidR="00735789">
        <w:rPr>
          <w:rFonts w:ascii="Times New Roman" w:eastAsia="宋体" w:hAnsi="Times New Roman" w:cs="Times New Roman" w:hint="eastAsia"/>
          <w:sz w:val="24"/>
          <w:szCs w:val="24"/>
        </w:rPr>
        <w:t>完全</w:t>
      </w:r>
      <w:r w:rsidR="00C87555" w:rsidRPr="000478CB">
        <w:rPr>
          <w:rFonts w:ascii="Times New Roman" w:eastAsia="宋体" w:hAnsi="Times New Roman" w:cs="Times New Roman" w:hint="eastAsia"/>
          <w:sz w:val="24"/>
          <w:szCs w:val="24"/>
        </w:rPr>
        <w:t>满足强大资本市场建设的需要。</w:t>
      </w:r>
      <w:r w:rsidR="00043BAE" w:rsidRPr="000478CB">
        <w:rPr>
          <w:rFonts w:ascii="Times New Roman" w:eastAsia="宋体" w:hAnsi="Times New Roman" w:cs="Times New Roman" w:hint="eastAsia"/>
          <w:sz w:val="24"/>
          <w:szCs w:val="24"/>
        </w:rPr>
        <w:t>党的二十届三中全会强调要</w:t>
      </w:r>
      <w:r w:rsidR="00043BAE" w:rsidRPr="000478CB">
        <w:rPr>
          <w:rFonts w:ascii="Times New Roman" w:eastAsia="宋体" w:hAnsi="Times New Roman" w:cs="Times New Roman"/>
          <w:sz w:val="24"/>
          <w:szCs w:val="24"/>
        </w:rPr>
        <w:t>建立增强资本市场内在稳定性长效机制</w:t>
      </w:r>
      <w:r w:rsidR="00DE140D">
        <w:rPr>
          <w:rFonts w:ascii="Times New Roman" w:eastAsia="宋体" w:hAnsi="Times New Roman" w:cs="Times New Roman" w:hint="eastAsia"/>
          <w:sz w:val="24"/>
          <w:szCs w:val="24"/>
        </w:rPr>
        <w:t>，这其中</w:t>
      </w:r>
      <w:r w:rsidR="00043BAE" w:rsidRPr="000478CB">
        <w:rPr>
          <w:rFonts w:ascii="Times New Roman" w:eastAsia="宋体" w:hAnsi="Times New Roman" w:cs="Times New Roman" w:hint="eastAsia"/>
          <w:sz w:val="24"/>
          <w:szCs w:val="24"/>
        </w:rPr>
        <w:t>重要</w:t>
      </w:r>
      <w:r w:rsidR="00A35FB8">
        <w:rPr>
          <w:rFonts w:ascii="Times New Roman" w:eastAsia="宋体" w:hAnsi="Times New Roman" w:cs="Times New Roman" w:hint="eastAsia"/>
          <w:sz w:val="24"/>
          <w:szCs w:val="24"/>
        </w:rPr>
        <w:t>的任务就是建立健全资本市场基础性制度。回望</w:t>
      </w:r>
      <w:r w:rsidR="00043BAE" w:rsidRPr="000478CB">
        <w:rPr>
          <w:rFonts w:ascii="Times New Roman" w:eastAsia="宋体" w:hAnsi="Times New Roman" w:cs="Times New Roman" w:hint="eastAsia"/>
          <w:sz w:val="24"/>
          <w:szCs w:val="24"/>
        </w:rPr>
        <w:t>发达资本市场</w:t>
      </w:r>
      <w:r w:rsidR="00A35FB8">
        <w:rPr>
          <w:rFonts w:ascii="Times New Roman" w:eastAsia="宋体" w:hAnsi="Times New Roman" w:cs="Times New Roman" w:hint="eastAsia"/>
          <w:sz w:val="24"/>
          <w:szCs w:val="24"/>
        </w:rPr>
        <w:t>的</w:t>
      </w:r>
      <w:r w:rsidR="00043BAE" w:rsidRPr="000478CB">
        <w:rPr>
          <w:rFonts w:ascii="Times New Roman" w:eastAsia="宋体" w:hAnsi="Times New Roman" w:cs="Times New Roman" w:hint="eastAsia"/>
          <w:sz w:val="24"/>
          <w:szCs w:val="24"/>
        </w:rPr>
        <w:t>发展经验，</w:t>
      </w:r>
      <w:r w:rsidR="00A35FB8">
        <w:rPr>
          <w:rFonts w:ascii="Times New Roman" w:eastAsia="宋体" w:hAnsi="Times New Roman" w:cs="Times New Roman" w:hint="eastAsia"/>
          <w:sz w:val="24"/>
          <w:szCs w:val="24"/>
        </w:rPr>
        <w:t>契约精神、市场机制和法治保障是</w:t>
      </w:r>
      <w:r w:rsidR="00163D55" w:rsidRPr="000478CB">
        <w:rPr>
          <w:rFonts w:ascii="Times New Roman" w:eastAsia="宋体" w:hAnsi="Times New Roman" w:cs="Times New Roman" w:hint="eastAsia"/>
          <w:sz w:val="24"/>
          <w:szCs w:val="24"/>
        </w:rPr>
        <w:t>强大资本市场</w:t>
      </w:r>
      <w:r w:rsidR="00A35FB8">
        <w:rPr>
          <w:rFonts w:ascii="Times New Roman" w:eastAsia="宋体" w:hAnsi="Times New Roman" w:cs="Times New Roman" w:hint="eastAsia"/>
          <w:sz w:val="24"/>
          <w:szCs w:val="24"/>
        </w:rPr>
        <w:t>的基本内核，公司治理、市场准入、发行、上市交易、登记</w:t>
      </w:r>
      <w:r w:rsidR="00043BAE" w:rsidRPr="000478CB">
        <w:rPr>
          <w:rFonts w:ascii="Times New Roman" w:eastAsia="宋体" w:hAnsi="Times New Roman" w:cs="Times New Roman" w:hint="eastAsia"/>
          <w:sz w:val="24"/>
          <w:szCs w:val="24"/>
        </w:rPr>
        <w:t>结算、信息披露、处罚惩戒、退出机制、破产清算和金融投资者保护等</w:t>
      </w:r>
      <w:r w:rsidR="00735789">
        <w:rPr>
          <w:rFonts w:ascii="Times New Roman" w:eastAsia="宋体" w:hAnsi="Times New Roman" w:cs="Times New Roman" w:hint="eastAsia"/>
          <w:sz w:val="24"/>
          <w:szCs w:val="24"/>
        </w:rPr>
        <w:t>等</w:t>
      </w:r>
      <w:r w:rsidR="00043BAE" w:rsidRPr="000478CB">
        <w:rPr>
          <w:rFonts w:ascii="Times New Roman" w:eastAsia="宋体" w:hAnsi="Times New Roman" w:cs="Times New Roman" w:hint="eastAsia"/>
          <w:sz w:val="24"/>
          <w:szCs w:val="24"/>
        </w:rPr>
        <w:t>制度安排是</w:t>
      </w:r>
      <w:r w:rsidR="00163D55" w:rsidRPr="000478CB">
        <w:rPr>
          <w:rFonts w:ascii="Times New Roman" w:eastAsia="宋体" w:hAnsi="Times New Roman" w:cs="Times New Roman" w:hint="eastAsia"/>
          <w:sz w:val="24"/>
          <w:szCs w:val="24"/>
        </w:rPr>
        <w:t>强大资本市场</w:t>
      </w:r>
      <w:r w:rsidR="00043BAE" w:rsidRPr="000478CB">
        <w:rPr>
          <w:rFonts w:ascii="Times New Roman" w:eastAsia="宋体" w:hAnsi="Times New Roman" w:cs="Times New Roman" w:hint="eastAsia"/>
          <w:sz w:val="24"/>
          <w:szCs w:val="24"/>
        </w:rPr>
        <w:t>基础性制度的基本要素。</w:t>
      </w:r>
      <w:r w:rsidR="00A35FB8">
        <w:rPr>
          <w:rFonts w:ascii="Times New Roman" w:eastAsia="宋体" w:hAnsi="Times New Roman" w:cs="Times New Roman" w:hint="eastAsia"/>
          <w:sz w:val="24"/>
          <w:szCs w:val="24"/>
        </w:rPr>
        <w:t>这些基础性制度的内外衔接是金融法治的重点内容。</w:t>
      </w:r>
      <w:r w:rsidR="00043BAE" w:rsidRPr="000478CB">
        <w:rPr>
          <w:rFonts w:ascii="Times New Roman" w:eastAsia="宋体" w:hAnsi="Times New Roman" w:cs="Times New Roman" w:hint="eastAsia"/>
          <w:sz w:val="24"/>
          <w:szCs w:val="24"/>
        </w:rPr>
        <w:t>与此同时，开放性和国际化是资本市场在全球维度配置资源的基础条件，高水</w:t>
      </w:r>
      <w:r w:rsidR="00A35FB8">
        <w:rPr>
          <w:rFonts w:ascii="Times New Roman" w:eastAsia="宋体" w:hAnsi="Times New Roman" w:cs="Times New Roman" w:hint="eastAsia"/>
          <w:sz w:val="24"/>
          <w:szCs w:val="24"/>
        </w:rPr>
        <w:t>平对外开放是推动中国资本市场发展的重要动能，基于此的一些基础法律</w:t>
      </w:r>
      <w:r w:rsidR="00043BAE" w:rsidRPr="000478CB">
        <w:rPr>
          <w:rFonts w:ascii="Times New Roman" w:eastAsia="宋体" w:hAnsi="Times New Roman" w:cs="Times New Roman" w:hint="eastAsia"/>
          <w:sz w:val="24"/>
          <w:szCs w:val="24"/>
        </w:rPr>
        <w:t>安排</w:t>
      </w:r>
      <w:r w:rsidR="00A35FB8">
        <w:rPr>
          <w:rFonts w:ascii="Times New Roman" w:eastAsia="宋体" w:hAnsi="Times New Roman" w:cs="Times New Roman" w:hint="eastAsia"/>
          <w:sz w:val="24"/>
          <w:szCs w:val="24"/>
        </w:rPr>
        <w:t>和监管匹配也值得关注，如中国企业海外上市与境外企业境内上市等制度</w:t>
      </w:r>
      <w:r w:rsidR="00043BAE" w:rsidRPr="000478CB">
        <w:rPr>
          <w:rFonts w:ascii="Times New Roman" w:eastAsia="宋体" w:hAnsi="Times New Roman" w:cs="Times New Roman" w:hint="eastAsia"/>
          <w:sz w:val="24"/>
          <w:szCs w:val="24"/>
        </w:rPr>
        <w:t>安排</w:t>
      </w:r>
      <w:r w:rsidR="00A35FB8">
        <w:rPr>
          <w:rFonts w:ascii="Times New Roman" w:eastAsia="宋体" w:hAnsi="Times New Roman" w:cs="Times New Roman" w:hint="eastAsia"/>
          <w:sz w:val="24"/>
          <w:szCs w:val="24"/>
        </w:rPr>
        <w:t>和法律支撑</w:t>
      </w:r>
      <w:r w:rsidR="00043BAE" w:rsidRPr="000478CB">
        <w:rPr>
          <w:rFonts w:ascii="Times New Roman" w:eastAsia="宋体" w:hAnsi="Times New Roman" w:cs="Times New Roman" w:hint="eastAsia"/>
          <w:sz w:val="24"/>
          <w:szCs w:val="24"/>
        </w:rPr>
        <w:t>尚未真正破题</w:t>
      </w:r>
      <w:r w:rsidR="00A35FB8">
        <w:rPr>
          <w:rFonts w:ascii="Times New Roman" w:eastAsia="宋体" w:hAnsi="Times New Roman" w:cs="Times New Roman" w:hint="eastAsia"/>
          <w:sz w:val="24"/>
          <w:szCs w:val="24"/>
        </w:rPr>
        <w:t>。</w:t>
      </w:r>
      <w:r w:rsidR="00043BAE" w:rsidRPr="000478CB">
        <w:rPr>
          <w:rFonts w:ascii="Times New Roman" w:eastAsia="宋体" w:hAnsi="Times New Roman" w:cs="Times New Roman" w:hint="eastAsia"/>
          <w:sz w:val="24"/>
          <w:szCs w:val="24"/>
        </w:rPr>
        <w:t>在传统国际经济金融治理可能被</w:t>
      </w:r>
      <w:r w:rsidR="00735789">
        <w:rPr>
          <w:rFonts w:ascii="Times New Roman" w:eastAsia="宋体" w:hAnsi="Times New Roman" w:cs="Times New Roman" w:hint="eastAsia"/>
          <w:sz w:val="24"/>
          <w:szCs w:val="24"/>
        </w:rPr>
        <w:t>美国新政府</w:t>
      </w:r>
      <w:r w:rsidR="00043BAE" w:rsidRPr="000478CB">
        <w:rPr>
          <w:rFonts w:ascii="Times New Roman" w:eastAsia="宋体" w:hAnsi="Times New Roman" w:cs="Times New Roman" w:hint="eastAsia"/>
          <w:sz w:val="24"/>
          <w:szCs w:val="24"/>
        </w:rPr>
        <w:t>搁置或忽视的情况下，资本市场制度建设和法治水平将成为</w:t>
      </w:r>
      <w:r w:rsidR="00735789">
        <w:rPr>
          <w:rFonts w:ascii="Times New Roman" w:eastAsia="宋体" w:hAnsi="Times New Roman" w:cs="Times New Roman" w:hint="eastAsia"/>
          <w:sz w:val="24"/>
          <w:szCs w:val="24"/>
        </w:rPr>
        <w:t>我国金融</w:t>
      </w:r>
      <w:r w:rsidR="00043BAE" w:rsidRPr="000478CB">
        <w:rPr>
          <w:rFonts w:ascii="Times New Roman" w:eastAsia="宋体" w:hAnsi="Times New Roman" w:cs="Times New Roman" w:hint="eastAsia"/>
          <w:sz w:val="24"/>
          <w:szCs w:val="24"/>
        </w:rPr>
        <w:t>竞争力更为重要的基础保障。</w:t>
      </w:r>
    </w:p>
    <w:p w14:paraId="2A3A74AE" w14:textId="254AC577" w:rsidR="00FE7A71" w:rsidRPr="000478CB" w:rsidRDefault="00FE7A71"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sidRPr="000478CB">
        <w:rPr>
          <w:rFonts w:ascii="Times New Roman" w:eastAsia="宋体" w:hAnsi="Times New Roman" w:cs="Times New Roman" w:hint="eastAsia"/>
          <w:sz w:val="24"/>
          <w:szCs w:val="24"/>
        </w:rPr>
        <w:t>（三）全球资产布局</w:t>
      </w:r>
    </w:p>
    <w:p w14:paraId="1F9AF2DB" w14:textId="642ACE98" w:rsidR="00FE7A71" w:rsidRPr="000478CB" w:rsidRDefault="00A35FB8"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Pr>
          <w:rFonts w:ascii="Times New Roman" w:eastAsia="宋体" w:hAnsi="Times New Roman" w:cs="Times New Roman" w:hint="eastAsia"/>
          <w:sz w:val="24"/>
          <w:szCs w:val="24"/>
        </w:rPr>
        <w:t>金融强国必然拥有较大规模的金融资产，且在全球层面上进行多元化的资产负债匹配与运营</w:t>
      </w:r>
      <w:r w:rsidR="00FE7A71" w:rsidRPr="000478CB">
        <w:rPr>
          <w:rFonts w:ascii="Times New Roman" w:eastAsia="宋体" w:hAnsi="Times New Roman" w:cs="Times New Roman" w:hint="eastAsia"/>
          <w:sz w:val="24"/>
          <w:szCs w:val="24"/>
        </w:rPr>
        <w:t>。金融强国不仅要具备内部资源配置能力，而且要具备内外资源链接能力，要在全球经济金融体系中具有广泛的资产负债表关联或</w:t>
      </w:r>
      <w:r w:rsidR="00C0699B">
        <w:rPr>
          <w:rFonts w:ascii="Times New Roman" w:eastAsia="宋体" w:hAnsi="Times New Roman" w:cs="Times New Roman" w:hint="eastAsia"/>
          <w:sz w:val="24"/>
          <w:szCs w:val="24"/>
        </w:rPr>
        <w:t>者共同利益</w:t>
      </w:r>
      <w:r w:rsidR="00FE7A71" w:rsidRPr="000478CB">
        <w:rPr>
          <w:rFonts w:ascii="Times New Roman" w:eastAsia="宋体" w:hAnsi="Times New Roman" w:cs="Times New Roman" w:hint="eastAsia"/>
          <w:sz w:val="24"/>
          <w:szCs w:val="24"/>
        </w:rPr>
        <w:t>。</w:t>
      </w:r>
      <w:r w:rsidR="00163D55" w:rsidRPr="000478CB">
        <w:rPr>
          <w:rFonts w:ascii="Times New Roman" w:eastAsia="宋体" w:hAnsi="Times New Roman" w:cs="Times New Roman" w:hint="eastAsia"/>
          <w:sz w:val="24"/>
          <w:szCs w:val="24"/>
        </w:rPr>
        <w:t>在全球金融一体化进程中，中美两国</w:t>
      </w:r>
      <w:r w:rsidR="00C0699B">
        <w:rPr>
          <w:rFonts w:ascii="Times New Roman" w:eastAsia="宋体" w:hAnsi="Times New Roman" w:cs="Times New Roman" w:hint="eastAsia"/>
          <w:sz w:val="24"/>
          <w:szCs w:val="24"/>
        </w:rPr>
        <w:t>的金融资产及其</w:t>
      </w:r>
      <w:r w:rsidR="009C132B">
        <w:rPr>
          <w:rFonts w:ascii="Times New Roman" w:eastAsia="宋体" w:hAnsi="Times New Roman" w:cs="Times New Roman" w:hint="eastAsia"/>
          <w:sz w:val="24"/>
          <w:szCs w:val="24"/>
        </w:rPr>
        <w:t>相关</w:t>
      </w:r>
      <w:r w:rsidR="00C0699B">
        <w:rPr>
          <w:rFonts w:ascii="Times New Roman" w:eastAsia="宋体" w:hAnsi="Times New Roman" w:cs="Times New Roman" w:hint="eastAsia"/>
          <w:sz w:val="24"/>
          <w:szCs w:val="24"/>
        </w:rPr>
        <w:t>利益</w:t>
      </w:r>
      <w:r w:rsidR="00163D55" w:rsidRPr="000478CB">
        <w:rPr>
          <w:rFonts w:ascii="Times New Roman" w:eastAsia="宋体" w:hAnsi="Times New Roman" w:cs="Times New Roman" w:hint="eastAsia"/>
          <w:sz w:val="24"/>
          <w:szCs w:val="24"/>
        </w:rPr>
        <w:t>实际上已经通过国际投资</w:t>
      </w:r>
      <w:r w:rsidR="00A47305" w:rsidRPr="000478CB">
        <w:rPr>
          <w:rFonts w:ascii="Times New Roman" w:eastAsia="宋体" w:hAnsi="Times New Roman" w:cs="Times New Roman" w:hint="eastAsia"/>
          <w:sz w:val="24"/>
          <w:szCs w:val="24"/>
        </w:rPr>
        <w:t>等渠道</w:t>
      </w:r>
      <w:r w:rsidR="00163D55" w:rsidRPr="000478CB">
        <w:rPr>
          <w:rFonts w:ascii="Times New Roman" w:eastAsia="宋体" w:hAnsi="Times New Roman" w:cs="Times New Roman" w:hint="eastAsia"/>
          <w:sz w:val="24"/>
          <w:szCs w:val="24"/>
        </w:rPr>
        <w:t>紧密关联在一起。</w:t>
      </w:r>
    </w:p>
    <w:p w14:paraId="16638584" w14:textId="2614B64F" w:rsidR="00FE7A71" w:rsidRPr="000478CB" w:rsidRDefault="00FE7A71"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sidRPr="000478CB">
        <w:rPr>
          <w:rFonts w:ascii="Times New Roman" w:eastAsia="宋体" w:hAnsi="Times New Roman" w:cs="Times New Roman" w:hint="eastAsia"/>
          <w:sz w:val="24"/>
          <w:szCs w:val="24"/>
        </w:rPr>
        <w:t>全球资产配置规模是一个国家金融竞争力的重要体现。</w:t>
      </w:r>
      <w:r w:rsidR="00C0699B">
        <w:rPr>
          <w:rFonts w:ascii="Times New Roman" w:eastAsia="宋体" w:hAnsi="Times New Roman" w:cs="Times New Roman" w:hint="eastAsia"/>
          <w:sz w:val="24"/>
          <w:szCs w:val="24"/>
        </w:rPr>
        <w:t>中美两国都是国际投资大国，但</w:t>
      </w:r>
      <w:proofErr w:type="gramStart"/>
      <w:r w:rsidR="00C0699B">
        <w:rPr>
          <w:rFonts w:ascii="Times New Roman" w:eastAsia="宋体" w:hAnsi="Times New Roman" w:cs="Times New Roman" w:hint="eastAsia"/>
          <w:sz w:val="24"/>
          <w:szCs w:val="24"/>
        </w:rPr>
        <w:t>两国国际</w:t>
      </w:r>
      <w:proofErr w:type="gramEnd"/>
      <w:r w:rsidR="00C0699B">
        <w:rPr>
          <w:rFonts w:ascii="Times New Roman" w:eastAsia="宋体" w:hAnsi="Times New Roman" w:cs="Times New Roman" w:hint="eastAsia"/>
          <w:sz w:val="24"/>
          <w:szCs w:val="24"/>
        </w:rPr>
        <w:t>投资</w:t>
      </w:r>
      <w:r w:rsidR="00C0699B">
        <w:rPr>
          <w:rFonts w:ascii="Times New Roman" w:eastAsia="宋体" w:hAnsi="Times New Roman" w:cs="Times New Roman"/>
          <w:sz w:val="24"/>
          <w:szCs w:val="24"/>
        </w:rPr>
        <w:t>的总量和结构存在较大</w:t>
      </w:r>
      <w:r w:rsidRPr="000478CB">
        <w:rPr>
          <w:rFonts w:ascii="Times New Roman" w:eastAsia="宋体" w:hAnsi="Times New Roman" w:cs="Times New Roman"/>
          <w:sz w:val="24"/>
          <w:szCs w:val="24"/>
        </w:rPr>
        <w:t>差异</w:t>
      </w:r>
      <w:r w:rsidR="00C0699B">
        <w:rPr>
          <w:rFonts w:ascii="Times New Roman" w:eastAsia="宋体" w:hAnsi="Times New Roman" w:cs="Times New Roman" w:hint="eastAsia"/>
          <w:sz w:val="24"/>
          <w:szCs w:val="24"/>
        </w:rPr>
        <w:t>，中国是全球领先的债权国</w:t>
      </w:r>
      <w:r w:rsidRPr="000478CB">
        <w:rPr>
          <w:rFonts w:ascii="Times New Roman" w:eastAsia="宋体" w:hAnsi="Times New Roman" w:cs="Times New Roman" w:hint="eastAsia"/>
          <w:sz w:val="24"/>
          <w:szCs w:val="24"/>
        </w:rPr>
        <w:t>，而美国是全球最大的债务国</w:t>
      </w:r>
      <w:r w:rsidRPr="000478CB">
        <w:rPr>
          <w:rFonts w:ascii="Times New Roman" w:eastAsia="宋体" w:hAnsi="Times New Roman" w:cs="Times New Roman"/>
          <w:sz w:val="24"/>
          <w:szCs w:val="24"/>
        </w:rPr>
        <w:t>。</w:t>
      </w:r>
      <w:r w:rsidR="00C0699B">
        <w:rPr>
          <w:rFonts w:ascii="Times New Roman" w:eastAsia="宋体" w:hAnsi="Times New Roman" w:cs="Times New Roman" w:hint="eastAsia"/>
          <w:sz w:val="24"/>
          <w:szCs w:val="24"/>
        </w:rPr>
        <w:t>过去</w:t>
      </w:r>
      <w:r w:rsidR="00C0699B">
        <w:rPr>
          <w:rFonts w:ascii="Times New Roman" w:eastAsia="宋体" w:hAnsi="Times New Roman" w:cs="Times New Roman" w:hint="eastAsia"/>
          <w:sz w:val="24"/>
          <w:szCs w:val="24"/>
        </w:rPr>
        <w:t>20</w:t>
      </w:r>
      <w:r w:rsidR="00C0699B">
        <w:rPr>
          <w:rFonts w:ascii="Times New Roman" w:eastAsia="宋体" w:hAnsi="Times New Roman" w:cs="Times New Roman" w:hint="eastAsia"/>
          <w:sz w:val="24"/>
          <w:szCs w:val="24"/>
        </w:rPr>
        <w:t>年</w:t>
      </w:r>
      <w:r w:rsidRPr="000478CB">
        <w:rPr>
          <w:rFonts w:ascii="Times New Roman" w:eastAsia="宋体" w:hAnsi="Times New Roman" w:cs="Times New Roman"/>
          <w:sz w:val="24"/>
          <w:szCs w:val="24"/>
        </w:rPr>
        <w:t>，中国国际投资</w:t>
      </w:r>
      <w:r w:rsidR="00C0699B">
        <w:rPr>
          <w:rFonts w:ascii="Times New Roman" w:eastAsia="宋体" w:hAnsi="Times New Roman" w:cs="Times New Roman" w:hint="eastAsia"/>
          <w:sz w:val="24"/>
          <w:szCs w:val="24"/>
        </w:rPr>
        <w:t>中的</w:t>
      </w:r>
      <w:r w:rsidRPr="000478CB">
        <w:rPr>
          <w:rFonts w:ascii="Times New Roman" w:eastAsia="宋体" w:hAnsi="Times New Roman" w:cs="Times New Roman"/>
          <w:sz w:val="24"/>
          <w:szCs w:val="24"/>
        </w:rPr>
        <w:t>资产和负债均快速增长，</w:t>
      </w:r>
      <w:r w:rsidRPr="000478CB">
        <w:rPr>
          <w:rFonts w:ascii="Times New Roman" w:eastAsia="宋体" w:hAnsi="Times New Roman" w:cs="Times New Roman" w:hint="eastAsia"/>
          <w:sz w:val="24"/>
          <w:szCs w:val="24"/>
        </w:rPr>
        <w:t>且</w:t>
      </w:r>
      <w:r w:rsidR="00C0699B">
        <w:rPr>
          <w:rFonts w:ascii="Times New Roman" w:eastAsia="宋体" w:hAnsi="Times New Roman" w:cs="Times New Roman"/>
          <w:sz w:val="24"/>
          <w:szCs w:val="24"/>
        </w:rPr>
        <w:t>资产</w:t>
      </w:r>
      <w:r w:rsidRPr="000478CB">
        <w:rPr>
          <w:rFonts w:ascii="Times New Roman" w:eastAsia="宋体" w:hAnsi="Times New Roman" w:cs="Times New Roman"/>
          <w:sz w:val="24"/>
          <w:szCs w:val="24"/>
        </w:rPr>
        <w:t>增长要快于负债，使</w:t>
      </w:r>
      <w:r w:rsidRPr="000478CB">
        <w:rPr>
          <w:rFonts w:ascii="Times New Roman" w:eastAsia="宋体" w:hAnsi="Times New Roman" w:cs="Times New Roman" w:hint="eastAsia"/>
          <w:sz w:val="24"/>
          <w:szCs w:val="24"/>
        </w:rPr>
        <w:t>中</w:t>
      </w:r>
      <w:r w:rsidRPr="000478CB">
        <w:rPr>
          <w:rFonts w:ascii="Times New Roman" w:eastAsia="宋体" w:hAnsi="Times New Roman" w:cs="Times New Roman"/>
          <w:sz w:val="24"/>
          <w:szCs w:val="24"/>
        </w:rPr>
        <w:t>国国际投资头寸表现为净资产，</w:t>
      </w:r>
      <w:r w:rsidRPr="000478CB">
        <w:rPr>
          <w:rFonts w:ascii="Times New Roman" w:eastAsia="宋体" w:hAnsi="Times New Roman" w:cs="Times New Roman" w:hint="eastAsia"/>
          <w:sz w:val="24"/>
          <w:szCs w:val="24"/>
        </w:rPr>
        <w:t>即</w:t>
      </w:r>
      <w:r w:rsidRPr="000478CB">
        <w:rPr>
          <w:rFonts w:ascii="Times New Roman" w:eastAsia="宋体" w:hAnsi="Times New Roman" w:cs="Times New Roman"/>
          <w:sz w:val="24"/>
          <w:szCs w:val="24"/>
        </w:rPr>
        <w:t>为净债权国</w:t>
      </w:r>
      <w:r w:rsidRPr="000478CB">
        <w:rPr>
          <w:rFonts w:ascii="Times New Roman" w:eastAsia="宋体" w:hAnsi="Times New Roman" w:cs="Times New Roman" w:hint="eastAsia"/>
          <w:sz w:val="24"/>
          <w:szCs w:val="24"/>
        </w:rPr>
        <w:t>。中国国际投资净债权</w:t>
      </w:r>
      <w:r w:rsidRPr="000478CB">
        <w:rPr>
          <w:rFonts w:ascii="Times New Roman" w:eastAsia="宋体" w:hAnsi="Times New Roman" w:cs="Times New Roman"/>
          <w:sz w:val="24"/>
          <w:szCs w:val="24"/>
        </w:rPr>
        <w:t>从</w:t>
      </w:r>
      <w:r w:rsidRPr="000478CB">
        <w:rPr>
          <w:rFonts w:ascii="Times New Roman" w:eastAsia="宋体" w:hAnsi="Times New Roman" w:cs="Times New Roman"/>
          <w:sz w:val="24"/>
          <w:szCs w:val="24"/>
        </w:rPr>
        <w:t>2004</w:t>
      </w:r>
      <w:r w:rsidRPr="000478CB">
        <w:rPr>
          <w:rFonts w:ascii="Times New Roman" w:eastAsia="宋体" w:hAnsi="Times New Roman" w:cs="Times New Roman"/>
          <w:sz w:val="24"/>
          <w:szCs w:val="24"/>
        </w:rPr>
        <w:t>年的</w:t>
      </w:r>
      <w:r w:rsidRPr="000478CB">
        <w:rPr>
          <w:rFonts w:ascii="Times New Roman" w:eastAsia="宋体" w:hAnsi="Times New Roman" w:cs="Times New Roman"/>
          <w:sz w:val="24"/>
          <w:szCs w:val="24"/>
        </w:rPr>
        <w:t>241</w:t>
      </w:r>
      <w:r w:rsidRPr="000478CB">
        <w:rPr>
          <w:rFonts w:ascii="Times New Roman" w:eastAsia="宋体" w:hAnsi="Times New Roman" w:cs="Times New Roman" w:hint="eastAsia"/>
          <w:sz w:val="24"/>
          <w:szCs w:val="24"/>
        </w:rPr>
        <w:t>0</w:t>
      </w:r>
      <w:r w:rsidRPr="000478CB">
        <w:rPr>
          <w:rFonts w:ascii="Times New Roman" w:eastAsia="宋体" w:hAnsi="Times New Roman" w:cs="Times New Roman"/>
          <w:sz w:val="24"/>
          <w:szCs w:val="24"/>
        </w:rPr>
        <w:t>亿美元增加至</w:t>
      </w:r>
      <w:r w:rsidRPr="000478CB">
        <w:rPr>
          <w:rFonts w:ascii="Times New Roman" w:eastAsia="宋体" w:hAnsi="Times New Roman" w:cs="Times New Roman"/>
          <w:sz w:val="24"/>
          <w:szCs w:val="24"/>
        </w:rPr>
        <w:t>2023</w:t>
      </w:r>
      <w:r w:rsidRPr="000478CB">
        <w:rPr>
          <w:rFonts w:ascii="Times New Roman" w:eastAsia="宋体" w:hAnsi="Times New Roman" w:cs="Times New Roman"/>
          <w:sz w:val="24"/>
          <w:szCs w:val="24"/>
        </w:rPr>
        <w:t>年的</w:t>
      </w:r>
      <w:r w:rsidRPr="000478CB">
        <w:rPr>
          <w:rFonts w:ascii="Times New Roman" w:eastAsia="宋体" w:hAnsi="Times New Roman" w:cs="Times New Roman"/>
          <w:sz w:val="24"/>
          <w:szCs w:val="24"/>
        </w:rPr>
        <w:t>2908</w:t>
      </w:r>
      <w:r w:rsidRPr="000478CB">
        <w:rPr>
          <w:rFonts w:ascii="Times New Roman" w:eastAsia="宋体" w:hAnsi="Times New Roman" w:cs="Times New Roman" w:hint="eastAsia"/>
          <w:sz w:val="24"/>
          <w:szCs w:val="24"/>
        </w:rPr>
        <w:t>0</w:t>
      </w:r>
      <w:r w:rsidRPr="000478CB">
        <w:rPr>
          <w:rFonts w:ascii="Times New Roman" w:eastAsia="宋体" w:hAnsi="Times New Roman" w:cs="Times New Roman"/>
          <w:sz w:val="24"/>
          <w:szCs w:val="24"/>
        </w:rPr>
        <w:t>亿美元，</w:t>
      </w:r>
      <w:r w:rsidR="00C0699B">
        <w:rPr>
          <w:rFonts w:ascii="Times New Roman" w:eastAsia="宋体" w:hAnsi="Times New Roman" w:cs="Times New Roman" w:hint="eastAsia"/>
          <w:sz w:val="24"/>
          <w:szCs w:val="24"/>
        </w:rPr>
        <w:t>或增加约</w:t>
      </w:r>
      <w:r w:rsidRPr="000478CB">
        <w:rPr>
          <w:rFonts w:ascii="Times New Roman" w:eastAsia="宋体" w:hAnsi="Times New Roman" w:cs="Times New Roman"/>
          <w:sz w:val="24"/>
          <w:szCs w:val="24"/>
        </w:rPr>
        <w:t>11</w:t>
      </w:r>
      <w:r w:rsidR="00C0699B">
        <w:rPr>
          <w:rFonts w:ascii="Times New Roman" w:eastAsia="宋体" w:hAnsi="Times New Roman" w:cs="Times New Roman" w:hint="eastAsia"/>
          <w:sz w:val="24"/>
          <w:szCs w:val="24"/>
        </w:rPr>
        <w:t>.07</w:t>
      </w:r>
      <w:r w:rsidR="00C0699B">
        <w:rPr>
          <w:rFonts w:ascii="Times New Roman" w:eastAsia="宋体" w:hAnsi="Times New Roman" w:cs="Times New Roman"/>
          <w:sz w:val="24"/>
          <w:szCs w:val="24"/>
        </w:rPr>
        <w:t>倍。</w:t>
      </w:r>
      <w:r w:rsidRPr="000478CB">
        <w:rPr>
          <w:rFonts w:ascii="Times New Roman" w:eastAsia="宋体" w:hAnsi="Times New Roman" w:cs="Times New Roman"/>
          <w:sz w:val="24"/>
          <w:szCs w:val="24"/>
        </w:rPr>
        <w:t>美国为净债务国，国际投资</w:t>
      </w:r>
      <w:r w:rsidR="00C0699B">
        <w:rPr>
          <w:rFonts w:ascii="Times New Roman" w:eastAsia="宋体" w:hAnsi="Times New Roman" w:cs="Times New Roman" w:hint="eastAsia"/>
          <w:sz w:val="24"/>
          <w:szCs w:val="24"/>
        </w:rPr>
        <w:t>净负债</w:t>
      </w:r>
      <w:r w:rsidRPr="000478CB">
        <w:rPr>
          <w:rFonts w:ascii="Times New Roman" w:eastAsia="宋体" w:hAnsi="Times New Roman" w:cs="Times New Roman" w:hint="eastAsia"/>
          <w:sz w:val="24"/>
          <w:szCs w:val="24"/>
        </w:rPr>
        <w:t>同期</w:t>
      </w:r>
      <w:r w:rsidRPr="000478CB">
        <w:rPr>
          <w:rFonts w:ascii="Times New Roman" w:eastAsia="宋体" w:hAnsi="Times New Roman" w:cs="Times New Roman"/>
          <w:sz w:val="24"/>
          <w:szCs w:val="24"/>
        </w:rPr>
        <w:t>从</w:t>
      </w:r>
      <w:r w:rsidRPr="000478CB">
        <w:rPr>
          <w:rFonts w:ascii="Times New Roman" w:eastAsia="宋体" w:hAnsi="Times New Roman" w:cs="Times New Roman"/>
          <w:sz w:val="24"/>
          <w:szCs w:val="24"/>
        </w:rPr>
        <w:t>2</w:t>
      </w:r>
      <w:r w:rsidRPr="000478CB">
        <w:rPr>
          <w:rFonts w:ascii="Times New Roman" w:eastAsia="宋体" w:hAnsi="Times New Roman" w:cs="Times New Roman" w:hint="eastAsia"/>
          <w:sz w:val="24"/>
          <w:szCs w:val="24"/>
        </w:rPr>
        <w:t>.</w:t>
      </w:r>
      <w:r w:rsidRPr="000478CB">
        <w:rPr>
          <w:rFonts w:ascii="Times New Roman" w:eastAsia="宋体" w:hAnsi="Times New Roman" w:cs="Times New Roman"/>
          <w:sz w:val="24"/>
          <w:szCs w:val="24"/>
        </w:rPr>
        <w:t>36</w:t>
      </w:r>
      <w:proofErr w:type="gramStart"/>
      <w:r w:rsidRPr="000478CB">
        <w:rPr>
          <w:rFonts w:ascii="Times New Roman" w:eastAsia="宋体" w:hAnsi="Times New Roman" w:cs="Times New Roman" w:hint="eastAsia"/>
          <w:sz w:val="24"/>
          <w:szCs w:val="24"/>
        </w:rPr>
        <w:t>万</w:t>
      </w:r>
      <w:r w:rsidRPr="000478CB">
        <w:rPr>
          <w:rFonts w:ascii="Times New Roman" w:eastAsia="宋体" w:hAnsi="Times New Roman" w:cs="Times New Roman"/>
          <w:sz w:val="24"/>
          <w:szCs w:val="24"/>
        </w:rPr>
        <w:t>亿</w:t>
      </w:r>
      <w:proofErr w:type="gramEnd"/>
      <w:r w:rsidRPr="000478CB">
        <w:rPr>
          <w:rFonts w:ascii="Times New Roman" w:eastAsia="宋体" w:hAnsi="Times New Roman" w:cs="Times New Roman"/>
          <w:sz w:val="24"/>
          <w:szCs w:val="24"/>
        </w:rPr>
        <w:t>美元</w:t>
      </w:r>
      <w:r w:rsidRPr="000478CB">
        <w:rPr>
          <w:rFonts w:ascii="Times New Roman" w:eastAsia="宋体" w:hAnsi="Times New Roman" w:cs="Times New Roman" w:hint="eastAsia"/>
          <w:sz w:val="24"/>
          <w:szCs w:val="24"/>
        </w:rPr>
        <w:t>扩大至</w:t>
      </w:r>
      <w:r w:rsidRPr="000478CB">
        <w:rPr>
          <w:rFonts w:ascii="Times New Roman" w:eastAsia="宋体" w:hAnsi="Times New Roman" w:cs="Times New Roman"/>
          <w:sz w:val="24"/>
          <w:szCs w:val="24"/>
        </w:rPr>
        <w:t>19</w:t>
      </w:r>
      <w:r w:rsidRPr="000478CB">
        <w:rPr>
          <w:rFonts w:ascii="Times New Roman" w:eastAsia="宋体" w:hAnsi="Times New Roman" w:cs="Times New Roman" w:hint="eastAsia"/>
          <w:sz w:val="24"/>
          <w:szCs w:val="24"/>
        </w:rPr>
        <w:t>.</w:t>
      </w:r>
      <w:r w:rsidRPr="000478CB">
        <w:rPr>
          <w:rFonts w:ascii="Times New Roman" w:eastAsia="宋体" w:hAnsi="Times New Roman" w:cs="Times New Roman"/>
          <w:sz w:val="24"/>
          <w:szCs w:val="24"/>
        </w:rPr>
        <w:t>85</w:t>
      </w:r>
      <w:proofErr w:type="gramStart"/>
      <w:r w:rsidRPr="000478CB">
        <w:rPr>
          <w:rFonts w:ascii="Times New Roman" w:eastAsia="宋体" w:hAnsi="Times New Roman" w:cs="Times New Roman" w:hint="eastAsia"/>
          <w:sz w:val="24"/>
          <w:szCs w:val="24"/>
        </w:rPr>
        <w:t>万</w:t>
      </w:r>
      <w:r w:rsidRPr="000478CB">
        <w:rPr>
          <w:rFonts w:ascii="Times New Roman" w:eastAsia="宋体" w:hAnsi="Times New Roman" w:cs="Times New Roman"/>
          <w:sz w:val="24"/>
          <w:szCs w:val="24"/>
        </w:rPr>
        <w:t>亿</w:t>
      </w:r>
      <w:proofErr w:type="gramEnd"/>
      <w:r w:rsidRPr="000478CB">
        <w:rPr>
          <w:rFonts w:ascii="Times New Roman" w:eastAsia="宋体" w:hAnsi="Times New Roman" w:cs="Times New Roman"/>
          <w:sz w:val="24"/>
          <w:szCs w:val="24"/>
        </w:rPr>
        <w:t>美元，</w:t>
      </w:r>
      <w:r w:rsidR="00C0699B">
        <w:rPr>
          <w:rFonts w:ascii="Times New Roman" w:eastAsia="宋体" w:hAnsi="Times New Roman" w:cs="Times New Roman" w:hint="eastAsia"/>
          <w:sz w:val="24"/>
          <w:szCs w:val="24"/>
        </w:rPr>
        <w:t>或增加</w:t>
      </w:r>
      <w:r w:rsidR="00C0699B">
        <w:rPr>
          <w:rFonts w:ascii="Times New Roman" w:eastAsia="宋体" w:hAnsi="Times New Roman" w:cs="Times New Roman"/>
          <w:sz w:val="24"/>
          <w:szCs w:val="24"/>
        </w:rPr>
        <w:t>约</w:t>
      </w:r>
      <w:r w:rsidRPr="000478CB">
        <w:rPr>
          <w:rFonts w:ascii="Times New Roman" w:eastAsia="宋体" w:hAnsi="Times New Roman" w:cs="Times New Roman"/>
          <w:sz w:val="24"/>
          <w:szCs w:val="24"/>
        </w:rPr>
        <w:t>7</w:t>
      </w:r>
      <w:r w:rsidR="00C0699B">
        <w:rPr>
          <w:rFonts w:ascii="Times New Roman" w:eastAsia="宋体" w:hAnsi="Times New Roman" w:cs="Times New Roman" w:hint="eastAsia"/>
          <w:sz w:val="24"/>
          <w:szCs w:val="24"/>
        </w:rPr>
        <w:t>.41</w:t>
      </w:r>
      <w:r w:rsidRPr="000478CB">
        <w:rPr>
          <w:rFonts w:ascii="Times New Roman" w:eastAsia="宋体" w:hAnsi="Times New Roman" w:cs="Times New Roman"/>
          <w:sz w:val="24"/>
          <w:szCs w:val="24"/>
        </w:rPr>
        <w:t>倍（详见表</w:t>
      </w:r>
      <w:r w:rsidR="00055FAB">
        <w:rPr>
          <w:rFonts w:ascii="Times New Roman" w:eastAsia="宋体" w:hAnsi="Times New Roman" w:cs="Times New Roman"/>
          <w:sz w:val="24"/>
          <w:szCs w:val="24"/>
        </w:rPr>
        <w:t>2</w:t>
      </w:r>
      <w:r w:rsidRPr="000478CB">
        <w:rPr>
          <w:rFonts w:ascii="Times New Roman" w:eastAsia="宋体" w:hAnsi="Times New Roman" w:cs="Times New Roman"/>
          <w:sz w:val="24"/>
          <w:szCs w:val="24"/>
        </w:rPr>
        <w:t>）。</w:t>
      </w:r>
      <w:r w:rsidRPr="000478CB">
        <w:rPr>
          <w:rFonts w:ascii="Times New Roman" w:eastAsia="宋体" w:hAnsi="Times New Roman" w:cs="Times New Roman"/>
          <w:sz w:val="24"/>
          <w:szCs w:val="24"/>
        </w:rPr>
        <w:t>2023</w:t>
      </w:r>
      <w:r w:rsidRPr="000478CB">
        <w:rPr>
          <w:rFonts w:ascii="Times New Roman" w:eastAsia="宋体" w:hAnsi="Times New Roman" w:cs="Times New Roman"/>
          <w:sz w:val="24"/>
          <w:szCs w:val="24"/>
        </w:rPr>
        <w:t>年</w:t>
      </w:r>
      <w:r w:rsidR="00C0699B">
        <w:rPr>
          <w:rFonts w:ascii="Times New Roman" w:eastAsia="宋体" w:hAnsi="Times New Roman" w:cs="Times New Roman" w:hint="eastAsia"/>
          <w:sz w:val="24"/>
          <w:szCs w:val="24"/>
        </w:rPr>
        <w:t>末中国国际投资资产</w:t>
      </w:r>
      <w:r w:rsidRPr="000478CB">
        <w:rPr>
          <w:rFonts w:ascii="Times New Roman" w:eastAsia="宋体" w:hAnsi="Times New Roman" w:cs="Times New Roman"/>
          <w:sz w:val="24"/>
          <w:szCs w:val="24"/>
        </w:rPr>
        <w:t>达</w:t>
      </w:r>
      <w:r w:rsidRPr="000478CB">
        <w:rPr>
          <w:rFonts w:ascii="Times New Roman" w:eastAsia="宋体" w:hAnsi="Times New Roman" w:cs="Times New Roman"/>
          <w:sz w:val="24"/>
          <w:szCs w:val="24"/>
        </w:rPr>
        <w:t>9</w:t>
      </w:r>
      <w:r w:rsidRPr="000478CB">
        <w:rPr>
          <w:rFonts w:ascii="Times New Roman" w:eastAsia="宋体" w:hAnsi="Times New Roman" w:cs="Times New Roman" w:hint="eastAsia"/>
          <w:sz w:val="24"/>
          <w:szCs w:val="24"/>
        </w:rPr>
        <w:t>.5</w:t>
      </w:r>
      <w:r w:rsidRPr="000478CB">
        <w:rPr>
          <w:rFonts w:ascii="Times New Roman" w:eastAsia="宋体" w:hAnsi="Times New Roman" w:cs="Times New Roman"/>
          <w:sz w:val="24"/>
          <w:szCs w:val="24"/>
        </w:rPr>
        <w:t>8</w:t>
      </w:r>
      <w:proofErr w:type="gramStart"/>
      <w:r w:rsidRPr="000478CB">
        <w:rPr>
          <w:rFonts w:ascii="Times New Roman" w:eastAsia="宋体" w:hAnsi="Times New Roman" w:cs="Times New Roman" w:hint="eastAsia"/>
          <w:sz w:val="24"/>
          <w:szCs w:val="24"/>
        </w:rPr>
        <w:t>万</w:t>
      </w:r>
      <w:r w:rsidR="00C0699B">
        <w:rPr>
          <w:rFonts w:ascii="Times New Roman" w:eastAsia="宋体" w:hAnsi="Times New Roman" w:cs="Times New Roman"/>
          <w:sz w:val="24"/>
          <w:szCs w:val="24"/>
        </w:rPr>
        <w:t>亿</w:t>
      </w:r>
      <w:proofErr w:type="gramEnd"/>
      <w:r w:rsidR="00C0699B">
        <w:rPr>
          <w:rFonts w:ascii="Times New Roman" w:eastAsia="宋体" w:hAnsi="Times New Roman" w:cs="Times New Roman"/>
          <w:sz w:val="24"/>
          <w:szCs w:val="24"/>
        </w:rPr>
        <w:t>美元，</w:t>
      </w:r>
      <w:r w:rsidR="00C0699B">
        <w:rPr>
          <w:rFonts w:ascii="Times New Roman" w:eastAsia="宋体" w:hAnsi="Times New Roman" w:cs="Times New Roman" w:hint="eastAsia"/>
          <w:sz w:val="24"/>
          <w:szCs w:val="24"/>
        </w:rPr>
        <w:t>比</w:t>
      </w:r>
      <w:r w:rsidRPr="000478CB">
        <w:rPr>
          <w:rFonts w:ascii="Times New Roman" w:eastAsia="宋体" w:hAnsi="Times New Roman" w:cs="Times New Roman"/>
          <w:sz w:val="24"/>
          <w:szCs w:val="24"/>
        </w:rPr>
        <w:t>2004</w:t>
      </w:r>
      <w:r w:rsidR="00C0699B">
        <w:rPr>
          <w:rFonts w:ascii="Times New Roman" w:eastAsia="宋体" w:hAnsi="Times New Roman" w:cs="Times New Roman"/>
          <w:sz w:val="24"/>
          <w:szCs w:val="24"/>
        </w:rPr>
        <w:t>年</w:t>
      </w:r>
      <w:r w:rsidR="00C0699B">
        <w:rPr>
          <w:rFonts w:ascii="Times New Roman" w:eastAsia="宋体" w:hAnsi="Times New Roman" w:cs="Times New Roman" w:hint="eastAsia"/>
          <w:sz w:val="24"/>
          <w:szCs w:val="24"/>
        </w:rPr>
        <w:t>增长</w:t>
      </w:r>
      <w:r w:rsidRPr="000478CB">
        <w:rPr>
          <w:rFonts w:ascii="Times New Roman" w:eastAsia="宋体" w:hAnsi="Times New Roman" w:cs="Times New Roman"/>
          <w:sz w:val="24"/>
          <w:szCs w:val="24"/>
        </w:rPr>
        <w:t>9</w:t>
      </w:r>
      <w:r w:rsidR="00C0699B">
        <w:rPr>
          <w:rFonts w:ascii="Times New Roman" w:eastAsia="宋体" w:hAnsi="Times New Roman" w:cs="Times New Roman" w:hint="eastAsia"/>
          <w:sz w:val="24"/>
          <w:szCs w:val="24"/>
        </w:rPr>
        <w:t>.23</w:t>
      </w:r>
      <w:r w:rsidRPr="000478CB">
        <w:rPr>
          <w:rFonts w:ascii="Times New Roman" w:eastAsia="宋体" w:hAnsi="Times New Roman" w:cs="Times New Roman"/>
          <w:sz w:val="24"/>
          <w:szCs w:val="24"/>
        </w:rPr>
        <w:t>倍</w:t>
      </w:r>
      <w:r w:rsidR="00C0699B">
        <w:rPr>
          <w:rFonts w:ascii="Times New Roman" w:eastAsia="宋体" w:hAnsi="Times New Roman" w:cs="Times New Roman" w:hint="eastAsia"/>
          <w:sz w:val="24"/>
          <w:szCs w:val="24"/>
        </w:rPr>
        <w:t>，中国对外资产增长速度迅猛</w:t>
      </w:r>
      <w:r w:rsidRPr="000478CB">
        <w:rPr>
          <w:rFonts w:ascii="Times New Roman" w:eastAsia="宋体" w:hAnsi="Times New Roman" w:cs="Times New Roman" w:hint="eastAsia"/>
          <w:sz w:val="24"/>
          <w:szCs w:val="24"/>
        </w:rPr>
        <w:t>；而</w:t>
      </w:r>
      <w:r w:rsidRPr="000478CB">
        <w:rPr>
          <w:rFonts w:ascii="Times New Roman" w:eastAsia="宋体" w:hAnsi="Times New Roman" w:cs="Times New Roman" w:hint="eastAsia"/>
          <w:sz w:val="24"/>
          <w:szCs w:val="24"/>
        </w:rPr>
        <w:t>2</w:t>
      </w:r>
      <w:r w:rsidRPr="000478CB">
        <w:rPr>
          <w:rFonts w:ascii="Times New Roman" w:eastAsia="宋体" w:hAnsi="Times New Roman" w:cs="Times New Roman"/>
          <w:sz w:val="24"/>
          <w:szCs w:val="24"/>
        </w:rPr>
        <w:t>023</w:t>
      </w:r>
      <w:r w:rsidRPr="000478CB">
        <w:rPr>
          <w:rFonts w:ascii="Times New Roman" w:eastAsia="宋体" w:hAnsi="Times New Roman" w:cs="Times New Roman" w:hint="eastAsia"/>
          <w:sz w:val="24"/>
          <w:szCs w:val="24"/>
        </w:rPr>
        <w:t>年</w:t>
      </w:r>
      <w:r w:rsidR="00C0699B" w:rsidRPr="000478CB">
        <w:rPr>
          <w:rFonts w:ascii="Times New Roman" w:eastAsia="宋体" w:hAnsi="Times New Roman" w:cs="Times New Roman" w:hint="eastAsia"/>
          <w:sz w:val="24"/>
          <w:szCs w:val="24"/>
        </w:rPr>
        <w:t>美国</w:t>
      </w:r>
      <w:r w:rsidRPr="000478CB">
        <w:rPr>
          <w:rFonts w:ascii="Times New Roman" w:eastAsia="宋体" w:hAnsi="Times New Roman" w:cs="Times New Roman" w:hint="eastAsia"/>
          <w:sz w:val="24"/>
          <w:szCs w:val="24"/>
        </w:rPr>
        <w:t>对外资产为</w:t>
      </w:r>
      <w:r w:rsidRPr="000478CB">
        <w:rPr>
          <w:rFonts w:ascii="Times New Roman" w:eastAsia="宋体" w:hAnsi="Times New Roman" w:cs="Times New Roman" w:hint="eastAsia"/>
          <w:sz w:val="24"/>
          <w:szCs w:val="24"/>
        </w:rPr>
        <w:t>3</w:t>
      </w:r>
      <w:r w:rsidRPr="000478CB">
        <w:rPr>
          <w:rFonts w:ascii="Times New Roman" w:eastAsia="宋体" w:hAnsi="Times New Roman" w:cs="Times New Roman"/>
          <w:sz w:val="24"/>
          <w:szCs w:val="24"/>
        </w:rPr>
        <w:t>4</w:t>
      </w:r>
      <w:r w:rsidRPr="000478CB">
        <w:rPr>
          <w:rFonts w:ascii="Times New Roman" w:eastAsia="宋体" w:hAnsi="Times New Roman" w:cs="Times New Roman" w:hint="eastAsia"/>
          <w:sz w:val="24"/>
          <w:szCs w:val="24"/>
        </w:rPr>
        <w:t>.</w:t>
      </w:r>
      <w:r w:rsidRPr="000478CB">
        <w:rPr>
          <w:rFonts w:ascii="Times New Roman" w:eastAsia="宋体" w:hAnsi="Times New Roman" w:cs="Times New Roman"/>
          <w:sz w:val="24"/>
          <w:szCs w:val="24"/>
        </w:rPr>
        <w:t>4</w:t>
      </w:r>
      <w:proofErr w:type="gramStart"/>
      <w:r w:rsidRPr="000478CB">
        <w:rPr>
          <w:rFonts w:ascii="Times New Roman" w:eastAsia="宋体" w:hAnsi="Times New Roman" w:cs="Times New Roman" w:hint="eastAsia"/>
          <w:sz w:val="24"/>
          <w:szCs w:val="24"/>
        </w:rPr>
        <w:t>万</w:t>
      </w:r>
      <w:r w:rsidRPr="000478CB">
        <w:rPr>
          <w:rFonts w:ascii="Times New Roman" w:eastAsia="宋体" w:hAnsi="Times New Roman" w:cs="Times New Roman"/>
          <w:sz w:val="24"/>
          <w:szCs w:val="24"/>
        </w:rPr>
        <w:t>亿</w:t>
      </w:r>
      <w:proofErr w:type="gramEnd"/>
      <w:r w:rsidRPr="000478CB">
        <w:rPr>
          <w:rFonts w:ascii="Times New Roman" w:eastAsia="宋体" w:hAnsi="Times New Roman" w:cs="Times New Roman"/>
          <w:sz w:val="24"/>
          <w:szCs w:val="24"/>
        </w:rPr>
        <w:t>美元</w:t>
      </w:r>
      <w:r w:rsidRPr="000478CB">
        <w:rPr>
          <w:rFonts w:ascii="Times New Roman" w:eastAsia="宋体" w:hAnsi="Times New Roman" w:cs="Times New Roman" w:hint="eastAsia"/>
          <w:sz w:val="24"/>
          <w:szCs w:val="24"/>
        </w:rPr>
        <w:t>，</w:t>
      </w:r>
      <w:r w:rsidR="00C0699B">
        <w:rPr>
          <w:rFonts w:ascii="Times New Roman" w:eastAsia="宋体" w:hAnsi="Times New Roman" w:cs="Times New Roman" w:hint="eastAsia"/>
          <w:sz w:val="24"/>
          <w:szCs w:val="24"/>
        </w:rPr>
        <w:t>比</w:t>
      </w:r>
      <w:r w:rsidRPr="000478CB">
        <w:rPr>
          <w:rFonts w:ascii="Times New Roman" w:eastAsia="宋体" w:hAnsi="Times New Roman" w:cs="Times New Roman" w:hint="eastAsia"/>
          <w:sz w:val="24"/>
          <w:szCs w:val="24"/>
        </w:rPr>
        <w:t>2</w:t>
      </w:r>
      <w:r w:rsidRPr="000478CB">
        <w:rPr>
          <w:rFonts w:ascii="Times New Roman" w:eastAsia="宋体" w:hAnsi="Times New Roman" w:cs="Times New Roman"/>
          <w:sz w:val="24"/>
          <w:szCs w:val="24"/>
        </w:rPr>
        <w:t>004</w:t>
      </w:r>
      <w:r w:rsidR="00C0699B">
        <w:rPr>
          <w:rFonts w:ascii="Times New Roman" w:eastAsia="宋体" w:hAnsi="Times New Roman" w:cs="Times New Roman" w:hint="eastAsia"/>
          <w:sz w:val="24"/>
          <w:szCs w:val="24"/>
        </w:rPr>
        <w:t>年增长</w:t>
      </w:r>
      <w:r w:rsidRPr="000478CB">
        <w:rPr>
          <w:rFonts w:ascii="Times New Roman" w:eastAsia="宋体" w:hAnsi="Times New Roman" w:cs="Times New Roman" w:hint="eastAsia"/>
          <w:sz w:val="24"/>
          <w:szCs w:val="24"/>
        </w:rPr>
        <w:t>2</w:t>
      </w:r>
      <w:r w:rsidR="00C0699B">
        <w:rPr>
          <w:rFonts w:ascii="Times New Roman" w:eastAsia="宋体" w:hAnsi="Times New Roman" w:cs="Times New Roman" w:hint="eastAsia"/>
          <w:sz w:val="24"/>
          <w:szCs w:val="24"/>
        </w:rPr>
        <w:t>.25</w:t>
      </w:r>
      <w:r w:rsidRPr="000478CB">
        <w:rPr>
          <w:rFonts w:ascii="Times New Roman" w:eastAsia="宋体" w:hAnsi="Times New Roman" w:cs="Times New Roman" w:hint="eastAsia"/>
          <w:sz w:val="24"/>
          <w:szCs w:val="24"/>
        </w:rPr>
        <w:t>倍（详见图</w:t>
      </w:r>
      <w:r w:rsidR="00604C59" w:rsidRPr="000478CB">
        <w:rPr>
          <w:rFonts w:ascii="Times New Roman" w:eastAsia="宋体" w:hAnsi="Times New Roman" w:cs="Times New Roman" w:hint="eastAsia"/>
          <w:sz w:val="24"/>
          <w:szCs w:val="24"/>
        </w:rPr>
        <w:t>7</w:t>
      </w:r>
      <w:r w:rsidR="00C0699B">
        <w:rPr>
          <w:rFonts w:ascii="Times New Roman" w:eastAsia="宋体" w:hAnsi="Times New Roman" w:cs="Times New Roman" w:hint="eastAsia"/>
          <w:sz w:val="24"/>
          <w:szCs w:val="24"/>
        </w:rPr>
        <w:t>）。</w:t>
      </w:r>
      <w:r w:rsidRPr="000478CB">
        <w:rPr>
          <w:rFonts w:ascii="Times New Roman" w:eastAsia="宋体" w:hAnsi="Times New Roman" w:cs="Times New Roman" w:hint="eastAsia"/>
          <w:sz w:val="24"/>
          <w:szCs w:val="24"/>
        </w:rPr>
        <w:t>美国对外资产</w:t>
      </w:r>
      <w:r w:rsidR="009C132B">
        <w:rPr>
          <w:rFonts w:ascii="Times New Roman" w:eastAsia="宋体" w:hAnsi="Times New Roman" w:cs="Times New Roman" w:hint="eastAsia"/>
          <w:sz w:val="24"/>
          <w:szCs w:val="24"/>
        </w:rPr>
        <w:t>虽然</w:t>
      </w:r>
      <w:r w:rsidR="00C0699B">
        <w:rPr>
          <w:rFonts w:ascii="Times New Roman" w:eastAsia="宋体" w:hAnsi="Times New Roman" w:cs="Times New Roman" w:hint="eastAsia"/>
          <w:sz w:val="24"/>
          <w:szCs w:val="24"/>
        </w:rPr>
        <w:t>增长较慢，但</w:t>
      </w:r>
      <w:r w:rsidRPr="000478CB">
        <w:rPr>
          <w:rFonts w:ascii="Times New Roman" w:eastAsia="宋体" w:hAnsi="Times New Roman" w:cs="Times New Roman" w:hint="eastAsia"/>
          <w:sz w:val="24"/>
          <w:szCs w:val="24"/>
        </w:rPr>
        <w:t>存量规模巨大。</w:t>
      </w:r>
    </w:p>
    <w:p w14:paraId="0305D726" w14:textId="7AAD9ACC" w:rsidR="00FE7A71" w:rsidRPr="000478CB" w:rsidRDefault="00FE7A71"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sidRPr="000478CB">
        <w:rPr>
          <w:rFonts w:ascii="Times New Roman" w:eastAsia="宋体" w:hAnsi="Times New Roman" w:cs="Times New Roman" w:hint="eastAsia"/>
          <w:sz w:val="24"/>
          <w:szCs w:val="24"/>
        </w:rPr>
        <w:lastRenderedPageBreak/>
        <w:t>海外资产收益和负债成本的统筹，或海外资产投资收益，考验一个国家对外资产负债经营和风险管理能力，也是一国金融竞争力（包括主权货币竞争力）的综合反映。中美两国的国际投资头寸收益差距显著（</w:t>
      </w:r>
      <w:r w:rsidR="00AC1ACC">
        <w:rPr>
          <w:rFonts w:ascii="Times New Roman" w:eastAsia="宋体" w:hAnsi="Times New Roman" w:cs="Times New Roman" w:hint="eastAsia"/>
          <w:sz w:val="24"/>
          <w:szCs w:val="24"/>
        </w:rPr>
        <w:t>详</w:t>
      </w:r>
      <w:r w:rsidRPr="000478CB">
        <w:rPr>
          <w:rFonts w:ascii="Times New Roman" w:eastAsia="宋体" w:hAnsi="Times New Roman" w:cs="Times New Roman" w:hint="eastAsia"/>
          <w:sz w:val="24"/>
          <w:szCs w:val="24"/>
        </w:rPr>
        <w:t>见图</w:t>
      </w:r>
      <w:r w:rsidR="00604C59" w:rsidRPr="000478CB">
        <w:rPr>
          <w:rFonts w:ascii="Times New Roman" w:eastAsia="宋体" w:hAnsi="Times New Roman" w:cs="Times New Roman" w:hint="eastAsia"/>
          <w:sz w:val="24"/>
          <w:szCs w:val="24"/>
        </w:rPr>
        <w:t>8</w:t>
      </w:r>
      <w:r w:rsidRPr="000478CB">
        <w:rPr>
          <w:rFonts w:ascii="Times New Roman" w:eastAsia="宋体" w:hAnsi="Times New Roman" w:cs="Times New Roman" w:hint="eastAsia"/>
          <w:sz w:val="24"/>
          <w:szCs w:val="24"/>
        </w:rPr>
        <w:t>）。中国国际投资资产负债的全局布局、运营能力和风险管理能力仍有待进一步提升。值得注意的是，国际投资头寸的净收益需要考虑汇率波动的冲击，且这个因素</w:t>
      </w:r>
      <w:r w:rsidR="00F55EC1">
        <w:rPr>
          <w:rFonts w:ascii="Times New Roman" w:eastAsia="宋体" w:hAnsi="Times New Roman" w:cs="Times New Roman" w:hint="eastAsia"/>
          <w:sz w:val="24"/>
          <w:szCs w:val="24"/>
        </w:rPr>
        <w:t>在部分阶段</w:t>
      </w:r>
      <w:r w:rsidR="00A47305" w:rsidRPr="000478CB">
        <w:rPr>
          <w:rFonts w:ascii="Times New Roman" w:eastAsia="宋体" w:hAnsi="Times New Roman" w:cs="Times New Roman" w:hint="eastAsia"/>
          <w:sz w:val="24"/>
          <w:szCs w:val="24"/>
        </w:rPr>
        <w:t>影响</w:t>
      </w:r>
      <w:r w:rsidR="00F55EC1" w:rsidRPr="000478CB">
        <w:rPr>
          <w:rFonts w:ascii="Times New Roman" w:eastAsia="宋体" w:hAnsi="Times New Roman" w:cs="Times New Roman" w:hint="eastAsia"/>
          <w:sz w:val="24"/>
          <w:szCs w:val="24"/>
        </w:rPr>
        <w:t>还</w:t>
      </w:r>
      <w:r w:rsidR="00A47305" w:rsidRPr="000478CB">
        <w:rPr>
          <w:rFonts w:ascii="Times New Roman" w:eastAsia="宋体" w:hAnsi="Times New Roman" w:cs="Times New Roman" w:hint="eastAsia"/>
          <w:sz w:val="24"/>
          <w:szCs w:val="24"/>
        </w:rPr>
        <w:t>不小。这从</w:t>
      </w:r>
      <w:r w:rsidRPr="000478CB">
        <w:rPr>
          <w:rFonts w:ascii="Times New Roman" w:eastAsia="宋体" w:hAnsi="Times New Roman" w:cs="Times New Roman" w:hint="eastAsia"/>
          <w:sz w:val="24"/>
          <w:szCs w:val="24"/>
        </w:rPr>
        <w:t>侧面反映了资产计价货币的重要性。</w:t>
      </w:r>
    </w:p>
    <w:p w14:paraId="121B7724" w14:textId="783C14E4" w:rsidR="00FE7A71" w:rsidRDefault="00821B07" w:rsidP="00AF0AF5">
      <w:pPr>
        <w:adjustRightInd w:val="0"/>
        <w:snapToGrid w:val="0"/>
        <w:spacing w:before="100" w:beforeAutospacing="1" w:after="100" w:afterAutospacing="1" w:line="360" w:lineRule="auto"/>
        <w:rPr>
          <w:rFonts w:ascii="Times New Roman" w:eastAsia="宋体" w:hAnsi="Times New Roman" w:cs="Times New Roman"/>
          <w:szCs w:val="21"/>
        </w:rPr>
      </w:pPr>
      <w:r>
        <w:rPr>
          <w:noProof/>
        </w:rPr>
        <w:drawing>
          <wp:inline distT="0" distB="0" distL="0" distR="0" wp14:anchorId="33FA65E4" wp14:editId="2823A76F">
            <wp:extent cx="2424545" cy="2410691"/>
            <wp:effectExtent l="0" t="0" r="13970" b="2794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FE7A71">
        <w:rPr>
          <w:rFonts w:ascii="Times New Roman" w:eastAsia="宋体" w:hAnsi="Times New Roman" w:cs="Times New Roman" w:hint="eastAsia"/>
          <w:szCs w:val="21"/>
        </w:rPr>
        <w:t xml:space="preserve"> </w:t>
      </w:r>
      <w:r w:rsidR="00FE7A71">
        <w:rPr>
          <w:noProof/>
        </w:rPr>
        <w:drawing>
          <wp:inline distT="0" distB="0" distL="0" distR="0" wp14:anchorId="462833E4" wp14:editId="0F5B830E">
            <wp:extent cx="2385391" cy="2425148"/>
            <wp:effectExtent l="0" t="0" r="15240" b="13335"/>
            <wp:docPr id="16" name="图表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A736079-1236-5900-140B-C75E7FFFCC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2B66B9C" w14:textId="1CA16F4B" w:rsidR="00FE7A71" w:rsidRPr="00D71272" w:rsidRDefault="00FE7A71"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sidRPr="00D71272">
        <w:rPr>
          <w:rFonts w:ascii="Times New Roman" w:eastAsia="宋体" w:hAnsi="Times New Roman" w:cs="Times New Roman" w:hint="eastAsia"/>
          <w:sz w:val="24"/>
          <w:szCs w:val="24"/>
        </w:rPr>
        <w:t>图</w:t>
      </w:r>
      <w:r w:rsidR="00604C59" w:rsidRPr="00D71272">
        <w:rPr>
          <w:rFonts w:ascii="Times New Roman" w:eastAsia="宋体" w:hAnsi="Times New Roman" w:cs="Times New Roman" w:hint="eastAsia"/>
          <w:sz w:val="24"/>
          <w:szCs w:val="24"/>
        </w:rPr>
        <w:t>7</w:t>
      </w:r>
      <w:r w:rsidRPr="00D71272">
        <w:rPr>
          <w:rFonts w:ascii="Times New Roman" w:eastAsia="宋体" w:hAnsi="Times New Roman" w:cs="Times New Roman" w:hint="eastAsia"/>
          <w:sz w:val="24"/>
          <w:szCs w:val="24"/>
        </w:rPr>
        <w:t xml:space="preserve"> </w:t>
      </w:r>
      <w:r w:rsidRPr="00D71272">
        <w:rPr>
          <w:rFonts w:ascii="Times New Roman" w:eastAsia="宋体" w:hAnsi="Times New Roman" w:cs="Times New Roman" w:hint="eastAsia"/>
          <w:sz w:val="24"/>
          <w:szCs w:val="24"/>
        </w:rPr>
        <w:t>中美国际投资资产和负债</w:t>
      </w:r>
      <w:r w:rsidRPr="00D71272">
        <w:rPr>
          <w:rFonts w:ascii="Times New Roman" w:eastAsia="宋体" w:hAnsi="Times New Roman" w:cs="Times New Roman" w:hint="eastAsia"/>
          <w:sz w:val="24"/>
          <w:szCs w:val="24"/>
        </w:rPr>
        <w:t xml:space="preserve">   </w:t>
      </w:r>
      <w:r w:rsidRPr="00D71272">
        <w:rPr>
          <w:rFonts w:ascii="Times New Roman" w:eastAsia="宋体" w:hAnsi="Times New Roman" w:cs="Times New Roman" w:hint="eastAsia"/>
          <w:sz w:val="24"/>
          <w:szCs w:val="24"/>
        </w:rPr>
        <w:t>图</w:t>
      </w:r>
      <w:r w:rsidR="00604C59" w:rsidRPr="00D71272">
        <w:rPr>
          <w:rFonts w:ascii="Times New Roman" w:eastAsia="宋体" w:hAnsi="Times New Roman" w:cs="Times New Roman" w:hint="eastAsia"/>
          <w:sz w:val="24"/>
          <w:szCs w:val="24"/>
        </w:rPr>
        <w:t>8</w:t>
      </w:r>
      <w:r w:rsidRPr="00D71272">
        <w:rPr>
          <w:rFonts w:ascii="Times New Roman" w:eastAsia="宋体" w:hAnsi="Times New Roman" w:cs="Times New Roman" w:hint="eastAsia"/>
          <w:sz w:val="24"/>
          <w:szCs w:val="24"/>
        </w:rPr>
        <w:t xml:space="preserve"> </w:t>
      </w:r>
      <w:r w:rsidRPr="00D71272">
        <w:rPr>
          <w:rFonts w:ascii="Times New Roman" w:eastAsia="宋体" w:hAnsi="Times New Roman" w:cs="Times New Roman" w:hint="eastAsia"/>
          <w:sz w:val="24"/>
          <w:szCs w:val="24"/>
        </w:rPr>
        <w:t>中美国际投资头寸的年度净收益</w:t>
      </w:r>
    </w:p>
    <w:p w14:paraId="6B4B0DBF" w14:textId="6DB0E85D" w:rsidR="00FE7A71" w:rsidRPr="00D71272" w:rsidRDefault="00FE7A71" w:rsidP="00AF0AF5">
      <w:pPr>
        <w:spacing w:line="360" w:lineRule="auto"/>
        <w:ind w:firstLineChars="200" w:firstLine="420"/>
        <w:rPr>
          <w:rFonts w:ascii="Times New Roman" w:eastAsia="宋体" w:hAnsi="Times New Roman" w:cs="Times New Roman"/>
          <w:szCs w:val="21"/>
        </w:rPr>
      </w:pPr>
      <w:r w:rsidRPr="00D71272">
        <w:rPr>
          <w:rFonts w:ascii="Times New Roman" w:eastAsia="宋体" w:hAnsi="Times New Roman" w:cs="Times New Roman" w:hint="eastAsia"/>
          <w:szCs w:val="21"/>
        </w:rPr>
        <w:t>数据来源：</w:t>
      </w:r>
      <w:r w:rsidR="00A47305" w:rsidRPr="00D71272">
        <w:rPr>
          <w:rFonts w:ascii="Times New Roman" w:eastAsia="宋体" w:hAnsi="Times New Roman" w:cs="Times New Roman" w:hint="eastAsia"/>
          <w:szCs w:val="21"/>
        </w:rPr>
        <w:t>中国</w:t>
      </w:r>
      <w:r w:rsidRPr="00D71272">
        <w:rPr>
          <w:rFonts w:ascii="Times New Roman" w:eastAsia="宋体" w:hAnsi="Times New Roman" w:cs="Times New Roman" w:hint="eastAsia"/>
          <w:szCs w:val="21"/>
        </w:rPr>
        <w:t>国家外汇管理局，美国经济分析局。</w:t>
      </w:r>
    </w:p>
    <w:p w14:paraId="395B3C91" w14:textId="3AE0AC1B" w:rsidR="00FE7A71" w:rsidRPr="000478CB" w:rsidRDefault="008C0B4E"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Pr>
          <w:rFonts w:ascii="Times New Roman" w:eastAsia="宋体" w:hAnsi="Times New Roman" w:cs="Times New Roman" w:hint="eastAsia"/>
          <w:sz w:val="24"/>
          <w:szCs w:val="24"/>
        </w:rPr>
        <w:t>中国国际投资资产和负债存量与美国</w:t>
      </w:r>
      <w:r w:rsidR="00FE7A71" w:rsidRPr="000478CB">
        <w:rPr>
          <w:rFonts w:ascii="Times New Roman" w:eastAsia="宋体" w:hAnsi="Times New Roman" w:cs="Times New Roman" w:hint="eastAsia"/>
          <w:sz w:val="24"/>
          <w:szCs w:val="24"/>
        </w:rPr>
        <w:t>存在</w:t>
      </w:r>
      <w:r>
        <w:rPr>
          <w:rFonts w:ascii="Times New Roman" w:eastAsia="宋体" w:hAnsi="Times New Roman" w:cs="Times New Roman" w:hint="eastAsia"/>
          <w:sz w:val="24"/>
          <w:szCs w:val="24"/>
        </w:rPr>
        <w:t>较大差距</w:t>
      </w:r>
      <w:r w:rsidR="00FE7A71" w:rsidRPr="000478CB">
        <w:rPr>
          <w:rFonts w:ascii="Times New Roman" w:eastAsia="宋体" w:hAnsi="Times New Roman" w:cs="Times New Roman" w:hint="eastAsia"/>
          <w:sz w:val="24"/>
          <w:szCs w:val="24"/>
        </w:rPr>
        <w:t>，反映了美国在海外市场</w:t>
      </w:r>
      <w:r>
        <w:rPr>
          <w:rFonts w:ascii="Times New Roman" w:eastAsia="宋体" w:hAnsi="Times New Roman" w:cs="Times New Roman" w:hint="eastAsia"/>
          <w:sz w:val="24"/>
          <w:szCs w:val="24"/>
        </w:rPr>
        <w:t>较强的资产运营能力、资金吸纳能力和资产负债统筹能力</w:t>
      </w:r>
      <w:r w:rsidR="00FE7A71" w:rsidRPr="000478CB">
        <w:rPr>
          <w:rFonts w:ascii="Times New Roman" w:eastAsia="宋体" w:hAnsi="Times New Roman" w:cs="Times New Roman"/>
          <w:sz w:val="24"/>
          <w:szCs w:val="24"/>
        </w:rPr>
        <w:t>。</w:t>
      </w:r>
      <w:r w:rsidR="00FE7A71" w:rsidRPr="000478CB">
        <w:rPr>
          <w:rFonts w:ascii="Times New Roman" w:eastAsia="宋体" w:hAnsi="Times New Roman" w:cs="Times New Roman" w:hint="eastAsia"/>
          <w:sz w:val="24"/>
          <w:szCs w:val="24"/>
        </w:rPr>
        <w:t>2023</w:t>
      </w:r>
      <w:r w:rsidR="00FE7A71" w:rsidRPr="000478CB">
        <w:rPr>
          <w:rFonts w:ascii="Times New Roman" w:eastAsia="宋体" w:hAnsi="Times New Roman" w:cs="Times New Roman" w:hint="eastAsia"/>
          <w:sz w:val="24"/>
          <w:szCs w:val="24"/>
        </w:rPr>
        <w:t>年末，</w:t>
      </w:r>
      <w:r w:rsidR="00FE7A71" w:rsidRPr="000478CB">
        <w:rPr>
          <w:rFonts w:ascii="Times New Roman" w:eastAsia="宋体" w:hAnsi="Times New Roman" w:cs="Times New Roman"/>
          <w:sz w:val="24"/>
          <w:szCs w:val="24"/>
        </w:rPr>
        <w:t>中国国际投资资产为</w:t>
      </w:r>
      <w:r w:rsidR="00FE7A71" w:rsidRPr="000478CB">
        <w:rPr>
          <w:rFonts w:ascii="Times New Roman" w:eastAsia="宋体" w:hAnsi="Times New Roman" w:cs="Times New Roman"/>
          <w:sz w:val="24"/>
          <w:szCs w:val="24"/>
        </w:rPr>
        <w:t>9.58</w:t>
      </w:r>
      <w:proofErr w:type="gramStart"/>
      <w:r w:rsidR="00FE7A71" w:rsidRPr="000478CB">
        <w:rPr>
          <w:rFonts w:ascii="Times New Roman" w:eastAsia="宋体" w:hAnsi="Times New Roman" w:cs="Times New Roman"/>
          <w:sz w:val="24"/>
          <w:szCs w:val="24"/>
        </w:rPr>
        <w:t>万亿</w:t>
      </w:r>
      <w:proofErr w:type="gramEnd"/>
      <w:r w:rsidR="00FE7A71" w:rsidRPr="000478CB">
        <w:rPr>
          <w:rFonts w:ascii="Times New Roman" w:eastAsia="宋体" w:hAnsi="Times New Roman" w:cs="Times New Roman"/>
          <w:sz w:val="24"/>
          <w:szCs w:val="24"/>
        </w:rPr>
        <w:t>美元，美国为</w:t>
      </w:r>
      <w:r w:rsidR="00FE7A71" w:rsidRPr="000478CB">
        <w:rPr>
          <w:rFonts w:ascii="Times New Roman" w:eastAsia="宋体" w:hAnsi="Times New Roman" w:cs="Times New Roman"/>
          <w:sz w:val="24"/>
          <w:szCs w:val="24"/>
        </w:rPr>
        <w:t>34.34</w:t>
      </w:r>
      <w:proofErr w:type="gramStart"/>
      <w:r w:rsidR="00FE7A71" w:rsidRPr="000478CB">
        <w:rPr>
          <w:rFonts w:ascii="Times New Roman" w:eastAsia="宋体" w:hAnsi="Times New Roman" w:cs="Times New Roman"/>
          <w:sz w:val="24"/>
          <w:szCs w:val="24"/>
        </w:rPr>
        <w:t>万亿</w:t>
      </w:r>
      <w:proofErr w:type="gramEnd"/>
      <w:r w:rsidR="00FE7A71" w:rsidRPr="000478CB">
        <w:rPr>
          <w:rFonts w:ascii="Times New Roman" w:eastAsia="宋体" w:hAnsi="Times New Roman" w:cs="Times New Roman"/>
          <w:sz w:val="24"/>
          <w:szCs w:val="24"/>
        </w:rPr>
        <w:t>美元</w:t>
      </w:r>
      <w:r w:rsidR="00FE7A71" w:rsidRPr="000478CB">
        <w:rPr>
          <w:rFonts w:ascii="Times New Roman" w:eastAsia="宋体" w:hAnsi="Times New Roman" w:cs="Times New Roman" w:hint="eastAsia"/>
          <w:sz w:val="24"/>
          <w:szCs w:val="24"/>
        </w:rPr>
        <w:t>，二者比例为</w:t>
      </w:r>
      <w:r w:rsidR="00FE7A71" w:rsidRPr="000478CB">
        <w:rPr>
          <w:rFonts w:ascii="Times New Roman" w:eastAsia="宋体" w:hAnsi="Times New Roman" w:cs="Times New Roman" w:hint="eastAsia"/>
          <w:sz w:val="24"/>
          <w:szCs w:val="24"/>
        </w:rPr>
        <w:t>27.9%</w:t>
      </w:r>
      <w:r w:rsidR="00FE7A71" w:rsidRPr="000478CB">
        <w:rPr>
          <w:rFonts w:ascii="Times New Roman" w:eastAsia="宋体" w:hAnsi="Times New Roman" w:cs="Times New Roman"/>
          <w:sz w:val="24"/>
          <w:szCs w:val="24"/>
        </w:rPr>
        <w:t>；中国国际投资负债为</w:t>
      </w:r>
      <w:r w:rsidR="00FE7A71" w:rsidRPr="000478CB">
        <w:rPr>
          <w:rFonts w:ascii="Times New Roman" w:eastAsia="宋体" w:hAnsi="Times New Roman" w:cs="Times New Roman"/>
          <w:sz w:val="24"/>
          <w:szCs w:val="24"/>
        </w:rPr>
        <w:t>6.67</w:t>
      </w:r>
      <w:proofErr w:type="gramStart"/>
      <w:r w:rsidR="00FE7A71" w:rsidRPr="000478CB">
        <w:rPr>
          <w:rFonts w:ascii="Times New Roman" w:eastAsia="宋体" w:hAnsi="Times New Roman" w:cs="Times New Roman"/>
          <w:sz w:val="24"/>
          <w:szCs w:val="24"/>
        </w:rPr>
        <w:t>万亿</w:t>
      </w:r>
      <w:proofErr w:type="gramEnd"/>
      <w:r w:rsidR="00FE7A71" w:rsidRPr="000478CB">
        <w:rPr>
          <w:rFonts w:ascii="Times New Roman" w:eastAsia="宋体" w:hAnsi="Times New Roman" w:cs="Times New Roman"/>
          <w:sz w:val="24"/>
          <w:szCs w:val="24"/>
        </w:rPr>
        <w:t>美元，美国则高达</w:t>
      </w:r>
      <w:r w:rsidR="00FE7A71" w:rsidRPr="000478CB">
        <w:rPr>
          <w:rFonts w:ascii="Times New Roman" w:eastAsia="宋体" w:hAnsi="Times New Roman" w:cs="Times New Roman"/>
          <w:sz w:val="24"/>
          <w:szCs w:val="24"/>
        </w:rPr>
        <w:t>54.25</w:t>
      </w:r>
      <w:proofErr w:type="gramStart"/>
      <w:r w:rsidR="00FE7A71" w:rsidRPr="000478CB">
        <w:rPr>
          <w:rFonts w:ascii="Times New Roman" w:eastAsia="宋体" w:hAnsi="Times New Roman" w:cs="Times New Roman"/>
          <w:sz w:val="24"/>
          <w:szCs w:val="24"/>
        </w:rPr>
        <w:t>万亿</w:t>
      </w:r>
      <w:proofErr w:type="gramEnd"/>
      <w:r w:rsidR="00FE7A71" w:rsidRPr="000478CB">
        <w:rPr>
          <w:rFonts w:ascii="Times New Roman" w:eastAsia="宋体" w:hAnsi="Times New Roman" w:cs="Times New Roman"/>
          <w:sz w:val="24"/>
          <w:szCs w:val="24"/>
        </w:rPr>
        <w:t>美元</w:t>
      </w:r>
      <w:r w:rsidR="00FE7A71" w:rsidRPr="000478CB">
        <w:rPr>
          <w:rFonts w:ascii="Times New Roman" w:eastAsia="宋体" w:hAnsi="Times New Roman" w:cs="Times New Roman" w:hint="eastAsia"/>
          <w:sz w:val="24"/>
          <w:szCs w:val="24"/>
        </w:rPr>
        <w:t>，二者比例为</w:t>
      </w:r>
      <w:r w:rsidR="00FE7A71" w:rsidRPr="000478CB">
        <w:rPr>
          <w:rFonts w:ascii="Times New Roman" w:eastAsia="宋体" w:hAnsi="Times New Roman" w:cs="Times New Roman" w:hint="eastAsia"/>
          <w:sz w:val="24"/>
          <w:szCs w:val="24"/>
        </w:rPr>
        <w:t>12.29%</w:t>
      </w:r>
      <w:r w:rsidR="00FE7A71" w:rsidRPr="000478CB">
        <w:rPr>
          <w:rFonts w:ascii="Times New Roman" w:eastAsia="宋体" w:hAnsi="Times New Roman" w:cs="Times New Roman"/>
          <w:sz w:val="24"/>
          <w:szCs w:val="24"/>
        </w:rPr>
        <w:t>。</w:t>
      </w:r>
      <w:r w:rsidR="008C1DB7" w:rsidRPr="000478CB">
        <w:rPr>
          <w:rFonts w:ascii="Times New Roman" w:eastAsia="宋体" w:hAnsi="Times New Roman" w:cs="Times New Roman" w:hint="eastAsia"/>
          <w:sz w:val="24"/>
          <w:szCs w:val="24"/>
        </w:rPr>
        <w:t>在资产方面</w:t>
      </w:r>
      <w:r w:rsidR="00FE7A71" w:rsidRPr="000478CB">
        <w:rPr>
          <w:rFonts w:ascii="Times New Roman" w:eastAsia="宋体" w:hAnsi="Times New Roman" w:cs="Times New Roman" w:hint="eastAsia"/>
          <w:sz w:val="24"/>
          <w:szCs w:val="24"/>
        </w:rPr>
        <w:t>，中国的海外</w:t>
      </w:r>
      <w:r>
        <w:rPr>
          <w:rFonts w:ascii="Times New Roman" w:eastAsia="宋体" w:hAnsi="Times New Roman" w:cs="Times New Roman"/>
          <w:sz w:val="24"/>
          <w:szCs w:val="24"/>
        </w:rPr>
        <w:t>直接投资占</w:t>
      </w:r>
      <w:r>
        <w:rPr>
          <w:rFonts w:ascii="Times New Roman" w:eastAsia="宋体" w:hAnsi="Times New Roman" w:cs="Times New Roman" w:hint="eastAsia"/>
          <w:sz w:val="24"/>
          <w:szCs w:val="24"/>
        </w:rPr>
        <w:t>总资产的比例</w:t>
      </w:r>
      <w:r w:rsidR="00FE7A71" w:rsidRPr="000478CB">
        <w:rPr>
          <w:rFonts w:ascii="Times New Roman" w:eastAsia="宋体" w:hAnsi="Times New Roman" w:cs="Times New Roman"/>
          <w:sz w:val="24"/>
          <w:szCs w:val="24"/>
        </w:rPr>
        <w:t>从</w:t>
      </w:r>
      <w:r w:rsidR="00FE7A71" w:rsidRPr="000478CB">
        <w:rPr>
          <w:rFonts w:ascii="Times New Roman" w:eastAsia="宋体" w:hAnsi="Times New Roman" w:cs="Times New Roman"/>
          <w:sz w:val="24"/>
          <w:szCs w:val="24"/>
        </w:rPr>
        <w:t>2004</w:t>
      </w:r>
      <w:r w:rsidR="00FE7A71" w:rsidRPr="000478CB">
        <w:rPr>
          <w:rFonts w:ascii="Times New Roman" w:eastAsia="宋体" w:hAnsi="Times New Roman" w:cs="Times New Roman"/>
          <w:sz w:val="24"/>
          <w:szCs w:val="24"/>
        </w:rPr>
        <w:t>年的</w:t>
      </w:r>
      <w:r w:rsidR="00FE7A71" w:rsidRPr="000478CB">
        <w:rPr>
          <w:rFonts w:ascii="Times New Roman" w:eastAsia="宋体" w:hAnsi="Times New Roman" w:cs="Times New Roman"/>
          <w:sz w:val="24"/>
          <w:szCs w:val="24"/>
        </w:rPr>
        <w:t>6.37%</w:t>
      </w:r>
      <w:r w:rsidR="00FE7A71" w:rsidRPr="000478CB">
        <w:rPr>
          <w:rFonts w:ascii="Times New Roman" w:eastAsia="宋体" w:hAnsi="Times New Roman" w:cs="Times New Roman"/>
          <w:sz w:val="24"/>
          <w:szCs w:val="24"/>
        </w:rPr>
        <w:t>升至</w:t>
      </w:r>
      <w:r>
        <w:rPr>
          <w:rFonts w:ascii="Times New Roman" w:eastAsia="宋体" w:hAnsi="Times New Roman" w:cs="Times New Roman" w:hint="eastAsia"/>
          <w:sz w:val="24"/>
          <w:szCs w:val="24"/>
        </w:rPr>
        <w:t>2023</w:t>
      </w:r>
      <w:r>
        <w:rPr>
          <w:rFonts w:ascii="Times New Roman" w:eastAsia="宋体" w:hAnsi="Times New Roman" w:cs="Times New Roman" w:hint="eastAsia"/>
          <w:sz w:val="24"/>
          <w:szCs w:val="24"/>
        </w:rPr>
        <w:t>年</w:t>
      </w:r>
      <w:r w:rsidR="00FE7A71" w:rsidRPr="000478CB">
        <w:rPr>
          <w:rFonts w:ascii="Times New Roman" w:eastAsia="宋体" w:hAnsi="Times New Roman" w:cs="Times New Roman"/>
          <w:sz w:val="24"/>
          <w:szCs w:val="24"/>
        </w:rPr>
        <w:t>的</w:t>
      </w:r>
      <w:r w:rsidR="00FE7A71" w:rsidRPr="000478CB">
        <w:rPr>
          <w:rFonts w:ascii="Times New Roman" w:eastAsia="宋体" w:hAnsi="Times New Roman" w:cs="Times New Roman"/>
          <w:sz w:val="24"/>
          <w:szCs w:val="24"/>
        </w:rPr>
        <w:t>30.67%</w:t>
      </w:r>
      <w:r w:rsidR="00FE7A71" w:rsidRPr="000478CB">
        <w:rPr>
          <w:rFonts w:ascii="Times New Roman" w:eastAsia="宋体" w:hAnsi="Times New Roman" w:cs="Times New Roman" w:hint="eastAsia"/>
          <w:sz w:val="24"/>
          <w:szCs w:val="24"/>
        </w:rPr>
        <w:t>，而美国的海外直接投资较为稳定，基本维持在</w:t>
      </w:r>
      <w:r w:rsidR="00FE7A71" w:rsidRPr="000478CB">
        <w:rPr>
          <w:rFonts w:ascii="Times New Roman" w:eastAsia="宋体" w:hAnsi="Times New Roman" w:cs="Times New Roman" w:hint="eastAsia"/>
          <w:sz w:val="24"/>
          <w:szCs w:val="24"/>
        </w:rPr>
        <w:t>3</w:t>
      </w:r>
      <w:r w:rsidR="00FE7A71" w:rsidRPr="000478CB">
        <w:rPr>
          <w:rFonts w:ascii="Times New Roman" w:eastAsia="宋体" w:hAnsi="Times New Roman" w:cs="Times New Roman"/>
          <w:sz w:val="24"/>
          <w:szCs w:val="24"/>
        </w:rPr>
        <w:t>0%</w:t>
      </w:r>
      <w:r w:rsidR="00FE7A71" w:rsidRPr="000478CB">
        <w:rPr>
          <w:rFonts w:ascii="Times New Roman" w:eastAsia="宋体" w:hAnsi="Times New Roman" w:cs="Times New Roman" w:hint="eastAsia"/>
          <w:sz w:val="24"/>
          <w:szCs w:val="24"/>
        </w:rPr>
        <w:t>左右</w:t>
      </w:r>
      <w:r>
        <w:rPr>
          <w:rFonts w:ascii="Times New Roman" w:eastAsia="宋体" w:hAnsi="Times New Roman" w:cs="Times New Roman" w:hint="eastAsia"/>
          <w:sz w:val="24"/>
          <w:szCs w:val="24"/>
        </w:rPr>
        <w:t>。中国</w:t>
      </w:r>
      <w:r w:rsidR="00FE7A71" w:rsidRPr="000478CB">
        <w:rPr>
          <w:rFonts w:ascii="Times New Roman" w:eastAsia="宋体" w:hAnsi="Times New Roman" w:cs="Times New Roman" w:hint="eastAsia"/>
          <w:sz w:val="24"/>
          <w:szCs w:val="24"/>
        </w:rPr>
        <w:t>对外</w:t>
      </w:r>
      <w:r w:rsidR="00FE7A71" w:rsidRPr="000478CB">
        <w:rPr>
          <w:rFonts w:ascii="Times New Roman" w:eastAsia="宋体" w:hAnsi="Times New Roman" w:cs="Times New Roman"/>
          <w:sz w:val="24"/>
          <w:szCs w:val="24"/>
        </w:rPr>
        <w:t>证券投资呈现先小</w:t>
      </w:r>
      <w:r w:rsidR="00FE7A71" w:rsidRPr="000478CB">
        <w:rPr>
          <w:rFonts w:ascii="Times New Roman" w:eastAsia="宋体" w:hAnsi="Times New Roman" w:cs="Times New Roman" w:hint="eastAsia"/>
          <w:sz w:val="24"/>
          <w:szCs w:val="24"/>
        </w:rPr>
        <w:t>幅</w:t>
      </w:r>
      <w:r w:rsidR="00FE7A71" w:rsidRPr="000478CB">
        <w:rPr>
          <w:rFonts w:ascii="Times New Roman" w:eastAsia="宋体" w:hAnsi="Times New Roman" w:cs="Times New Roman"/>
          <w:sz w:val="24"/>
          <w:szCs w:val="24"/>
        </w:rPr>
        <w:t>增加又小</w:t>
      </w:r>
      <w:r w:rsidR="00FE7A71" w:rsidRPr="000478CB">
        <w:rPr>
          <w:rFonts w:ascii="Times New Roman" w:eastAsia="宋体" w:hAnsi="Times New Roman" w:cs="Times New Roman" w:hint="eastAsia"/>
          <w:sz w:val="24"/>
          <w:szCs w:val="24"/>
        </w:rPr>
        <w:t>幅</w:t>
      </w:r>
      <w:r w:rsidR="00FE7A71" w:rsidRPr="000478CB">
        <w:rPr>
          <w:rFonts w:ascii="Times New Roman" w:eastAsia="宋体" w:hAnsi="Times New Roman" w:cs="Times New Roman"/>
          <w:sz w:val="24"/>
          <w:szCs w:val="24"/>
        </w:rPr>
        <w:t>减少的趋势，</w:t>
      </w:r>
      <w:r w:rsidRPr="000478CB">
        <w:rPr>
          <w:rFonts w:ascii="Times New Roman" w:eastAsia="宋体" w:hAnsi="Times New Roman" w:cs="Times New Roman"/>
          <w:sz w:val="24"/>
          <w:szCs w:val="24"/>
        </w:rPr>
        <w:t xml:space="preserve"> </w:t>
      </w:r>
      <w:r w:rsidR="00FE7A71" w:rsidRPr="000478CB">
        <w:rPr>
          <w:rFonts w:ascii="Times New Roman" w:eastAsia="宋体" w:hAnsi="Times New Roman" w:cs="Times New Roman"/>
          <w:sz w:val="24"/>
          <w:szCs w:val="24"/>
        </w:rPr>
        <w:t>2023</w:t>
      </w:r>
      <w:r w:rsidR="00FE7A71" w:rsidRPr="000478CB">
        <w:rPr>
          <w:rFonts w:ascii="Times New Roman" w:eastAsia="宋体" w:hAnsi="Times New Roman" w:cs="Times New Roman"/>
          <w:sz w:val="24"/>
          <w:szCs w:val="24"/>
        </w:rPr>
        <w:t>年</w:t>
      </w:r>
      <w:r>
        <w:rPr>
          <w:rFonts w:ascii="Times New Roman" w:eastAsia="宋体" w:hAnsi="Times New Roman" w:cs="Times New Roman" w:hint="eastAsia"/>
          <w:sz w:val="24"/>
          <w:szCs w:val="24"/>
        </w:rPr>
        <w:t>末证券</w:t>
      </w:r>
      <w:r>
        <w:rPr>
          <w:rFonts w:ascii="Times New Roman" w:eastAsia="宋体" w:hAnsi="Times New Roman" w:cs="Times New Roman"/>
          <w:sz w:val="24"/>
          <w:szCs w:val="24"/>
        </w:rPr>
        <w:t>投资</w:t>
      </w:r>
      <w:r>
        <w:rPr>
          <w:rFonts w:ascii="Times New Roman" w:eastAsia="宋体" w:hAnsi="Times New Roman" w:cs="Times New Roman" w:hint="eastAsia"/>
          <w:sz w:val="24"/>
          <w:szCs w:val="24"/>
        </w:rPr>
        <w:t>占比</w:t>
      </w:r>
      <w:r w:rsidR="00FE7A71" w:rsidRPr="000478CB">
        <w:rPr>
          <w:rFonts w:ascii="Times New Roman" w:eastAsia="宋体" w:hAnsi="Times New Roman" w:cs="Times New Roman"/>
          <w:sz w:val="24"/>
          <w:szCs w:val="24"/>
        </w:rPr>
        <w:t>为</w:t>
      </w:r>
      <w:r w:rsidR="00FE7A71" w:rsidRPr="000478CB">
        <w:rPr>
          <w:rFonts w:ascii="Times New Roman" w:eastAsia="宋体" w:hAnsi="Times New Roman" w:cs="Times New Roman"/>
          <w:sz w:val="24"/>
          <w:szCs w:val="24"/>
        </w:rPr>
        <w:t>11.46%</w:t>
      </w:r>
      <w:r w:rsidR="00FE7A71" w:rsidRPr="000478CB">
        <w:rPr>
          <w:rFonts w:ascii="Times New Roman" w:eastAsia="宋体" w:hAnsi="Times New Roman" w:cs="Times New Roman"/>
          <w:sz w:val="24"/>
          <w:szCs w:val="24"/>
        </w:rPr>
        <w:t>左右</w:t>
      </w:r>
      <w:r>
        <w:rPr>
          <w:rFonts w:ascii="Times New Roman" w:eastAsia="宋体" w:hAnsi="Times New Roman" w:cs="Times New Roman" w:hint="eastAsia"/>
          <w:sz w:val="24"/>
          <w:szCs w:val="24"/>
        </w:rPr>
        <w:t>，而美国</w:t>
      </w:r>
      <w:r w:rsidR="00FE7A71" w:rsidRPr="000478CB">
        <w:rPr>
          <w:rFonts w:ascii="Times New Roman" w:eastAsia="宋体" w:hAnsi="Times New Roman" w:cs="Times New Roman" w:hint="eastAsia"/>
          <w:sz w:val="24"/>
          <w:szCs w:val="24"/>
        </w:rPr>
        <w:t>对外证券投资总体</w:t>
      </w:r>
      <w:r>
        <w:rPr>
          <w:rFonts w:ascii="Times New Roman" w:eastAsia="宋体" w:hAnsi="Times New Roman" w:cs="Times New Roman" w:hint="eastAsia"/>
          <w:sz w:val="24"/>
          <w:szCs w:val="24"/>
        </w:rPr>
        <w:t>持续</w:t>
      </w:r>
      <w:r w:rsidR="00FE7A71" w:rsidRPr="000478CB">
        <w:rPr>
          <w:rFonts w:ascii="Times New Roman" w:eastAsia="宋体" w:hAnsi="Times New Roman" w:cs="Times New Roman" w:hint="eastAsia"/>
          <w:sz w:val="24"/>
          <w:szCs w:val="24"/>
        </w:rPr>
        <w:t>上升，</w:t>
      </w:r>
      <w:r w:rsidR="00FE7A71" w:rsidRPr="000478CB">
        <w:rPr>
          <w:rFonts w:ascii="Times New Roman" w:eastAsia="宋体" w:hAnsi="Times New Roman" w:cs="Times New Roman"/>
          <w:sz w:val="24"/>
          <w:szCs w:val="24"/>
        </w:rPr>
        <w:t>从</w:t>
      </w:r>
      <w:r w:rsidR="00FE7A71" w:rsidRPr="000478CB">
        <w:rPr>
          <w:rFonts w:ascii="Times New Roman" w:eastAsia="宋体" w:hAnsi="Times New Roman" w:cs="Times New Roman"/>
          <w:sz w:val="24"/>
          <w:szCs w:val="24"/>
        </w:rPr>
        <w:t>2004</w:t>
      </w:r>
      <w:r w:rsidR="00FE7A71" w:rsidRPr="000478CB">
        <w:rPr>
          <w:rFonts w:ascii="Times New Roman" w:eastAsia="宋体" w:hAnsi="Times New Roman" w:cs="Times New Roman"/>
          <w:sz w:val="24"/>
          <w:szCs w:val="24"/>
        </w:rPr>
        <w:t>年的</w:t>
      </w:r>
      <w:r w:rsidR="00FE7A71" w:rsidRPr="000478CB">
        <w:rPr>
          <w:rFonts w:ascii="Times New Roman" w:eastAsia="宋体" w:hAnsi="Times New Roman" w:cs="Times New Roman"/>
          <w:sz w:val="24"/>
          <w:szCs w:val="24"/>
        </w:rPr>
        <w:t>36.15%</w:t>
      </w:r>
      <w:r w:rsidR="00FE7A71" w:rsidRPr="000478CB">
        <w:rPr>
          <w:rFonts w:ascii="Times New Roman" w:eastAsia="宋体" w:hAnsi="Times New Roman" w:cs="Times New Roman"/>
          <w:sz w:val="24"/>
          <w:szCs w:val="24"/>
        </w:rPr>
        <w:t>升至</w:t>
      </w:r>
      <w:r w:rsidR="00FE7A71" w:rsidRPr="000478CB">
        <w:rPr>
          <w:rFonts w:ascii="Times New Roman" w:eastAsia="宋体" w:hAnsi="Times New Roman" w:cs="Times New Roman"/>
          <w:sz w:val="24"/>
          <w:szCs w:val="24"/>
        </w:rPr>
        <w:t>44.58%</w:t>
      </w:r>
      <w:r w:rsidR="00FE7A71" w:rsidRPr="000478CB">
        <w:rPr>
          <w:rFonts w:ascii="Times New Roman" w:eastAsia="宋体" w:hAnsi="Times New Roman" w:cs="Times New Roman" w:hint="eastAsia"/>
          <w:sz w:val="24"/>
          <w:szCs w:val="24"/>
        </w:rPr>
        <w:t>（详见表</w:t>
      </w:r>
      <w:r w:rsidR="00604C59" w:rsidRPr="000478CB">
        <w:rPr>
          <w:rFonts w:ascii="Times New Roman" w:eastAsia="宋体" w:hAnsi="Times New Roman" w:cs="Times New Roman" w:hint="eastAsia"/>
          <w:sz w:val="24"/>
          <w:szCs w:val="24"/>
        </w:rPr>
        <w:t>2</w:t>
      </w:r>
      <w:r w:rsidR="00FE7A71" w:rsidRPr="000478CB">
        <w:rPr>
          <w:rFonts w:ascii="Times New Roman" w:eastAsia="宋体" w:hAnsi="Times New Roman" w:cs="Times New Roman" w:hint="eastAsia"/>
          <w:sz w:val="24"/>
          <w:szCs w:val="24"/>
        </w:rPr>
        <w:t>）。</w:t>
      </w:r>
    </w:p>
    <w:p w14:paraId="7C2F5AF7" w14:textId="4C392173" w:rsidR="00FE7A71" w:rsidRPr="002D7066" w:rsidRDefault="00FE7A71" w:rsidP="00AF0AF5">
      <w:pPr>
        <w:spacing w:line="360" w:lineRule="auto"/>
        <w:jc w:val="center"/>
        <w:rPr>
          <w:rFonts w:ascii="Times New Roman" w:eastAsia="宋体" w:hAnsi="Times New Roman" w:cs="Times New Roman"/>
          <w:sz w:val="24"/>
          <w:szCs w:val="24"/>
        </w:rPr>
      </w:pPr>
      <w:r w:rsidRPr="002D7066">
        <w:rPr>
          <w:rFonts w:ascii="Times New Roman" w:eastAsia="宋体" w:hAnsi="Times New Roman" w:cs="Times New Roman"/>
          <w:sz w:val="24"/>
          <w:szCs w:val="24"/>
        </w:rPr>
        <w:t>表</w:t>
      </w:r>
      <w:r w:rsidR="00604C59" w:rsidRPr="002D7066">
        <w:rPr>
          <w:rFonts w:ascii="Times New Roman" w:eastAsia="宋体" w:hAnsi="Times New Roman" w:cs="Times New Roman" w:hint="eastAsia"/>
          <w:sz w:val="24"/>
          <w:szCs w:val="24"/>
        </w:rPr>
        <w:t>2</w:t>
      </w:r>
      <w:r w:rsidRPr="002D7066">
        <w:rPr>
          <w:rFonts w:ascii="Times New Roman" w:eastAsia="宋体" w:hAnsi="Times New Roman" w:cs="Times New Roman"/>
          <w:sz w:val="24"/>
          <w:szCs w:val="24"/>
        </w:rPr>
        <w:t xml:space="preserve">  2023</w:t>
      </w:r>
      <w:r w:rsidRPr="002D7066">
        <w:rPr>
          <w:rFonts w:ascii="Times New Roman" w:eastAsia="宋体" w:hAnsi="Times New Roman" w:cs="Times New Roman"/>
          <w:sz w:val="24"/>
          <w:szCs w:val="24"/>
        </w:rPr>
        <w:t>年中美国际投资净头寸（亿美元）</w:t>
      </w: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668"/>
        <w:gridCol w:w="1133"/>
        <w:gridCol w:w="1756"/>
        <w:gridCol w:w="1802"/>
        <w:gridCol w:w="2163"/>
      </w:tblGrid>
      <w:tr w:rsidR="00FE7A71" w:rsidRPr="0021662B" w14:paraId="5AD8F528" w14:textId="77777777" w:rsidTr="0021662B">
        <w:trPr>
          <w:trHeight w:val="294"/>
          <w:jc w:val="center"/>
        </w:trPr>
        <w:tc>
          <w:tcPr>
            <w:tcW w:w="979" w:type="pct"/>
            <w:shd w:val="clear" w:color="auto" w:fill="auto"/>
            <w:vAlign w:val="center"/>
            <w:hideMark/>
          </w:tcPr>
          <w:p w14:paraId="3FC1C332" w14:textId="77777777" w:rsidR="00FE7A71" w:rsidRPr="0021662B" w:rsidRDefault="00FE7A71" w:rsidP="00AF0AF5">
            <w:pPr>
              <w:widowControl/>
              <w:spacing w:line="360" w:lineRule="auto"/>
              <w:jc w:val="center"/>
              <w:rPr>
                <w:rFonts w:ascii="Times New Roman" w:eastAsia="宋体" w:hAnsi="Times New Roman" w:cs="Times New Roman"/>
                <w:color w:val="000000"/>
                <w:kern w:val="0"/>
                <w:szCs w:val="21"/>
              </w:rPr>
            </w:pPr>
            <w:r w:rsidRPr="0021662B">
              <w:rPr>
                <w:rFonts w:ascii="Times New Roman" w:eastAsia="宋体" w:hAnsi="Times New Roman" w:cs="Times New Roman"/>
                <w:color w:val="000000"/>
                <w:kern w:val="0"/>
                <w:szCs w:val="21"/>
              </w:rPr>
              <w:t>指标名称</w:t>
            </w:r>
          </w:p>
        </w:tc>
        <w:tc>
          <w:tcPr>
            <w:tcW w:w="1695" w:type="pct"/>
            <w:gridSpan w:val="2"/>
          </w:tcPr>
          <w:p w14:paraId="076A2C9C" w14:textId="77777777" w:rsidR="00FE7A71" w:rsidRPr="0021662B" w:rsidRDefault="00FE7A71" w:rsidP="00AF0AF5">
            <w:pPr>
              <w:widowControl/>
              <w:spacing w:line="360" w:lineRule="auto"/>
              <w:jc w:val="center"/>
              <w:rPr>
                <w:rFonts w:ascii="Times New Roman" w:eastAsia="宋体" w:hAnsi="Times New Roman" w:cs="Times New Roman"/>
                <w:color w:val="000000"/>
                <w:kern w:val="0"/>
                <w:szCs w:val="21"/>
              </w:rPr>
            </w:pPr>
            <w:r w:rsidRPr="0021662B">
              <w:rPr>
                <w:rFonts w:ascii="Times New Roman" w:eastAsia="宋体" w:hAnsi="Times New Roman" w:cs="Times New Roman"/>
                <w:color w:val="000000"/>
                <w:kern w:val="0"/>
                <w:szCs w:val="21"/>
              </w:rPr>
              <w:t>中国</w:t>
            </w:r>
          </w:p>
        </w:tc>
        <w:tc>
          <w:tcPr>
            <w:tcW w:w="2326" w:type="pct"/>
            <w:gridSpan w:val="2"/>
          </w:tcPr>
          <w:p w14:paraId="0F3E0F2D" w14:textId="77777777" w:rsidR="00FE7A71" w:rsidRPr="0021662B" w:rsidRDefault="00FE7A71" w:rsidP="00AF0AF5">
            <w:pPr>
              <w:widowControl/>
              <w:spacing w:line="360" w:lineRule="auto"/>
              <w:jc w:val="center"/>
              <w:rPr>
                <w:rFonts w:ascii="Times New Roman" w:eastAsia="宋体" w:hAnsi="Times New Roman" w:cs="Times New Roman"/>
                <w:color w:val="000000"/>
                <w:kern w:val="0"/>
                <w:szCs w:val="21"/>
              </w:rPr>
            </w:pPr>
            <w:r w:rsidRPr="0021662B">
              <w:rPr>
                <w:rFonts w:ascii="Times New Roman" w:eastAsia="宋体" w:hAnsi="Times New Roman" w:cs="Times New Roman"/>
                <w:color w:val="000000"/>
                <w:kern w:val="0"/>
                <w:szCs w:val="21"/>
              </w:rPr>
              <w:t>美国</w:t>
            </w:r>
          </w:p>
        </w:tc>
      </w:tr>
      <w:tr w:rsidR="00FE7A71" w:rsidRPr="0021662B" w14:paraId="1A377287" w14:textId="77777777" w:rsidTr="0021662B">
        <w:trPr>
          <w:trHeight w:val="294"/>
          <w:jc w:val="center"/>
        </w:trPr>
        <w:tc>
          <w:tcPr>
            <w:tcW w:w="979" w:type="pct"/>
            <w:shd w:val="clear" w:color="auto" w:fill="auto"/>
            <w:vAlign w:val="center"/>
          </w:tcPr>
          <w:p w14:paraId="5041E821" w14:textId="77777777" w:rsidR="00FE7A71" w:rsidRPr="0021662B" w:rsidRDefault="00FE7A71" w:rsidP="00AF0AF5">
            <w:pPr>
              <w:widowControl/>
              <w:spacing w:line="360" w:lineRule="auto"/>
              <w:jc w:val="center"/>
              <w:rPr>
                <w:rFonts w:ascii="Times New Roman" w:eastAsia="宋体" w:hAnsi="Times New Roman" w:cs="Times New Roman"/>
                <w:color w:val="000000"/>
                <w:kern w:val="0"/>
                <w:szCs w:val="21"/>
              </w:rPr>
            </w:pPr>
          </w:p>
        </w:tc>
        <w:tc>
          <w:tcPr>
            <w:tcW w:w="665" w:type="pct"/>
          </w:tcPr>
          <w:p w14:paraId="0B7329B6" w14:textId="77777777" w:rsidR="00FE7A71" w:rsidRPr="0021662B" w:rsidRDefault="00FE7A71" w:rsidP="00AF0AF5">
            <w:pPr>
              <w:widowControl/>
              <w:spacing w:line="360" w:lineRule="auto"/>
              <w:jc w:val="center"/>
              <w:rPr>
                <w:rFonts w:ascii="Times New Roman" w:eastAsia="宋体" w:hAnsi="Times New Roman" w:cs="Times New Roman"/>
                <w:color w:val="000000"/>
                <w:kern w:val="0"/>
                <w:szCs w:val="21"/>
              </w:rPr>
            </w:pPr>
            <w:r w:rsidRPr="0021662B">
              <w:rPr>
                <w:rFonts w:ascii="Times New Roman" w:eastAsia="宋体" w:hAnsi="Times New Roman" w:cs="Times New Roman"/>
                <w:color w:val="000000"/>
                <w:kern w:val="0"/>
                <w:szCs w:val="21"/>
              </w:rPr>
              <w:t>2004</w:t>
            </w:r>
            <w:r w:rsidRPr="0021662B">
              <w:rPr>
                <w:rFonts w:ascii="Times New Roman" w:eastAsia="宋体" w:hAnsi="Times New Roman" w:cs="Times New Roman"/>
                <w:color w:val="000000"/>
                <w:kern w:val="0"/>
                <w:szCs w:val="21"/>
              </w:rPr>
              <w:t>年</w:t>
            </w:r>
          </w:p>
        </w:tc>
        <w:tc>
          <w:tcPr>
            <w:tcW w:w="1030" w:type="pct"/>
            <w:shd w:val="clear" w:color="auto" w:fill="auto"/>
            <w:vAlign w:val="bottom"/>
          </w:tcPr>
          <w:p w14:paraId="5C13D7EC" w14:textId="77777777" w:rsidR="00FE7A71" w:rsidRPr="0021662B" w:rsidRDefault="00FE7A71" w:rsidP="00AF0AF5">
            <w:pPr>
              <w:widowControl/>
              <w:spacing w:line="360" w:lineRule="auto"/>
              <w:jc w:val="center"/>
              <w:rPr>
                <w:rFonts w:ascii="Times New Roman" w:eastAsia="宋体" w:hAnsi="Times New Roman" w:cs="Times New Roman"/>
                <w:color w:val="000000"/>
                <w:kern w:val="0"/>
                <w:szCs w:val="21"/>
              </w:rPr>
            </w:pPr>
            <w:r w:rsidRPr="0021662B">
              <w:rPr>
                <w:rFonts w:ascii="Times New Roman" w:eastAsia="宋体" w:hAnsi="Times New Roman" w:cs="Times New Roman"/>
                <w:color w:val="000000"/>
                <w:kern w:val="0"/>
                <w:szCs w:val="21"/>
              </w:rPr>
              <w:t>2023</w:t>
            </w:r>
            <w:r w:rsidRPr="0021662B">
              <w:rPr>
                <w:rFonts w:ascii="Times New Roman" w:eastAsia="宋体" w:hAnsi="Times New Roman" w:cs="Times New Roman"/>
                <w:color w:val="000000"/>
                <w:kern w:val="0"/>
                <w:szCs w:val="21"/>
              </w:rPr>
              <w:t>年</w:t>
            </w:r>
          </w:p>
        </w:tc>
        <w:tc>
          <w:tcPr>
            <w:tcW w:w="1057" w:type="pct"/>
          </w:tcPr>
          <w:p w14:paraId="004F6A68" w14:textId="77777777" w:rsidR="00FE7A71" w:rsidRPr="0021662B" w:rsidRDefault="00FE7A71" w:rsidP="00AF0AF5">
            <w:pPr>
              <w:widowControl/>
              <w:spacing w:line="360" w:lineRule="auto"/>
              <w:jc w:val="center"/>
              <w:rPr>
                <w:rFonts w:ascii="Times New Roman" w:eastAsia="宋体" w:hAnsi="Times New Roman" w:cs="Times New Roman"/>
                <w:color w:val="000000"/>
                <w:kern w:val="0"/>
                <w:szCs w:val="21"/>
              </w:rPr>
            </w:pPr>
            <w:r w:rsidRPr="0021662B">
              <w:rPr>
                <w:rFonts w:ascii="Times New Roman" w:eastAsia="宋体" w:hAnsi="Times New Roman" w:cs="Times New Roman"/>
                <w:color w:val="000000"/>
                <w:kern w:val="0"/>
                <w:szCs w:val="21"/>
              </w:rPr>
              <w:t>2004</w:t>
            </w:r>
            <w:r w:rsidRPr="0021662B">
              <w:rPr>
                <w:rFonts w:ascii="Times New Roman" w:eastAsia="宋体" w:hAnsi="Times New Roman" w:cs="Times New Roman"/>
                <w:color w:val="000000"/>
                <w:kern w:val="0"/>
                <w:szCs w:val="21"/>
              </w:rPr>
              <w:t>年</w:t>
            </w:r>
          </w:p>
        </w:tc>
        <w:tc>
          <w:tcPr>
            <w:tcW w:w="1269" w:type="pct"/>
            <w:shd w:val="clear" w:color="auto" w:fill="auto"/>
            <w:vAlign w:val="center"/>
          </w:tcPr>
          <w:p w14:paraId="01B1B9F4" w14:textId="77777777" w:rsidR="00FE7A71" w:rsidRPr="0021662B" w:rsidRDefault="00FE7A71" w:rsidP="00AF0AF5">
            <w:pPr>
              <w:widowControl/>
              <w:spacing w:line="360" w:lineRule="auto"/>
              <w:jc w:val="center"/>
              <w:rPr>
                <w:rFonts w:ascii="Times New Roman" w:eastAsia="宋体" w:hAnsi="Times New Roman" w:cs="Times New Roman"/>
                <w:color w:val="000000"/>
                <w:kern w:val="0"/>
                <w:szCs w:val="21"/>
              </w:rPr>
            </w:pPr>
            <w:r w:rsidRPr="0021662B">
              <w:rPr>
                <w:rFonts w:ascii="Times New Roman" w:eastAsia="宋体" w:hAnsi="Times New Roman" w:cs="Times New Roman"/>
                <w:color w:val="000000"/>
                <w:kern w:val="0"/>
                <w:szCs w:val="21"/>
              </w:rPr>
              <w:t>2023</w:t>
            </w:r>
            <w:r w:rsidRPr="0021662B">
              <w:rPr>
                <w:rFonts w:ascii="Times New Roman" w:eastAsia="宋体" w:hAnsi="Times New Roman" w:cs="Times New Roman"/>
                <w:color w:val="000000"/>
                <w:kern w:val="0"/>
                <w:szCs w:val="21"/>
              </w:rPr>
              <w:t>年</w:t>
            </w:r>
          </w:p>
        </w:tc>
      </w:tr>
      <w:tr w:rsidR="00FE7A71" w:rsidRPr="0021662B" w14:paraId="265A70DF" w14:textId="77777777" w:rsidTr="0021662B">
        <w:trPr>
          <w:trHeight w:val="294"/>
          <w:jc w:val="center"/>
        </w:trPr>
        <w:tc>
          <w:tcPr>
            <w:tcW w:w="979" w:type="pct"/>
            <w:shd w:val="clear" w:color="auto" w:fill="auto"/>
            <w:vAlign w:val="center"/>
            <w:hideMark/>
          </w:tcPr>
          <w:p w14:paraId="5C315F53" w14:textId="77777777" w:rsidR="00FE7A71" w:rsidRPr="0021662B" w:rsidRDefault="00FE7A71" w:rsidP="00AF0AF5">
            <w:pPr>
              <w:widowControl/>
              <w:spacing w:line="360" w:lineRule="auto"/>
              <w:jc w:val="left"/>
              <w:rPr>
                <w:rFonts w:ascii="Times New Roman" w:eastAsia="宋体" w:hAnsi="Times New Roman" w:cs="Times New Roman"/>
                <w:color w:val="000000"/>
                <w:kern w:val="0"/>
                <w:szCs w:val="21"/>
              </w:rPr>
            </w:pPr>
            <w:r w:rsidRPr="0021662B">
              <w:rPr>
                <w:rFonts w:ascii="Times New Roman" w:eastAsia="宋体" w:hAnsi="Times New Roman" w:cs="Times New Roman"/>
                <w:color w:val="000000"/>
                <w:kern w:val="0"/>
                <w:szCs w:val="21"/>
              </w:rPr>
              <w:lastRenderedPageBreak/>
              <w:t>净头寸</w:t>
            </w:r>
          </w:p>
        </w:tc>
        <w:tc>
          <w:tcPr>
            <w:tcW w:w="665" w:type="pct"/>
          </w:tcPr>
          <w:p w14:paraId="6D22D93D" w14:textId="77777777" w:rsidR="00FE7A71" w:rsidRPr="0021662B" w:rsidRDefault="00FE7A71" w:rsidP="00AF0AF5">
            <w:pPr>
              <w:widowControl/>
              <w:spacing w:line="360" w:lineRule="auto"/>
              <w:jc w:val="center"/>
              <w:rPr>
                <w:rFonts w:ascii="Times New Roman" w:eastAsia="宋体" w:hAnsi="Times New Roman" w:cs="Times New Roman"/>
                <w:szCs w:val="21"/>
              </w:rPr>
            </w:pPr>
            <w:r w:rsidRPr="0021662B">
              <w:rPr>
                <w:rFonts w:ascii="Times New Roman" w:eastAsia="宋体" w:hAnsi="Times New Roman" w:cs="Times New Roman"/>
                <w:szCs w:val="21"/>
              </w:rPr>
              <w:t>2408.83</w:t>
            </w:r>
          </w:p>
        </w:tc>
        <w:tc>
          <w:tcPr>
            <w:tcW w:w="1030" w:type="pct"/>
            <w:shd w:val="clear" w:color="auto" w:fill="auto"/>
            <w:vAlign w:val="bottom"/>
            <w:hideMark/>
          </w:tcPr>
          <w:p w14:paraId="6CF4F8D6" w14:textId="77777777" w:rsidR="00FE7A71" w:rsidRPr="0021662B" w:rsidRDefault="00FE7A71" w:rsidP="00AF0AF5">
            <w:pPr>
              <w:widowControl/>
              <w:spacing w:line="360" w:lineRule="auto"/>
              <w:jc w:val="center"/>
              <w:rPr>
                <w:rFonts w:ascii="Times New Roman" w:eastAsia="宋体" w:hAnsi="Times New Roman" w:cs="Times New Roman"/>
                <w:color w:val="000000"/>
                <w:kern w:val="0"/>
                <w:szCs w:val="21"/>
              </w:rPr>
            </w:pPr>
            <w:r w:rsidRPr="0021662B">
              <w:rPr>
                <w:rFonts w:ascii="Times New Roman" w:eastAsia="宋体" w:hAnsi="Times New Roman" w:cs="Times New Roman"/>
                <w:color w:val="000000"/>
                <w:kern w:val="0"/>
                <w:szCs w:val="21"/>
              </w:rPr>
              <w:t>29082.04</w:t>
            </w:r>
          </w:p>
        </w:tc>
        <w:tc>
          <w:tcPr>
            <w:tcW w:w="1057" w:type="pct"/>
          </w:tcPr>
          <w:p w14:paraId="0CFB175E" w14:textId="77777777" w:rsidR="00FE7A71" w:rsidRPr="0021662B" w:rsidRDefault="00FE7A71" w:rsidP="00AF0AF5">
            <w:pPr>
              <w:widowControl/>
              <w:spacing w:line="360" w:lineRule="auto"/>
              <w:jc w:val="center"/>
              <w:rPr>
                <w:rFonts w:ascii="Times New Roman" w:eastAsia="宋体" w:hAnsi="Times New Roman" w:cs="Times New Roman"/>
                <w:szCs w:val="21"/>
              </w:rPr>
            </w:pPr>
            <w:r w:rsidRPr="0021662B">
              <w:rPr>
                <w:rFonts w:ascii="Times New Roman" w:eastAsia="宋体" w:hAnsi="Times New Roman" w:cs="Times New Roman"/>
                <w:szCs w:val="21"/>
              </w:rPr>
              <w:t>-23627.77</w:t>
            </w:r>
          </w:p>
        </w:tc>
        <w:tc>
          <w:tcPr>
            <w:tcW w:w="1269" w:type="pct"/>
            <w:shd w:val="clear" w:color="auto" w:fill="auto"/>
            <w:vAlign w:val="center"/>
            <w:hideMark/>
          </w:tcPr>
          <w:p w14:paraId="17BC1ABD" w14:textId="77777777" w:rsidR="00FE7A71" w:rsidRPr="0021662B" w:rsidRDefault="00FE7A71" w:rsidP="00AF0AF5">
            <w:pPr>
              <w:widowControl/>
              <w:spacing w:line="360" w:lineRule="auto"/>
              <w:jc w:val="center"/>
              <w:rPr>
                <w:rFonts w:ascii="Times New Roman" w:eastAsia="宋体" w:hAnsi="Times New Roman" w:cs="Times New Roman"/>
                <w:kern w:val="0"/>
                <w:szCs w:val="21"/>
              </w:rPr>
            </w:pPr>
            <w:r w:rsidRPr="0021662B">
              <w:rPr>
                <w:rFonts w:ascii="Times New Roman" w:eastAsia="宋体" w:hAnsi="Times New Roman" w:cs="Times New Roman"/>
                <w:kern w:val="0"/>
                <w:szCs w:val="21"/>
              </w:rPr>
              <w:t>-198531.54</w:t>
            </w:r>
          </w:p>
        </w:tc>
      </w:tr>
      <w:tr w:rsidR="00FE7A71" w:rsidRPr="0021662B" w14:paraId="179764AF" w14:textId="77777777" w:rsidTr="0021662B">
        <w:trPr>
          <w:trHeight w:val="294"/>
          <w:jc w:val="center"/>
        </w:trPr>
        <w:tc>
          <w:tcPr>
            <w:tcW w:w="979" w:type="pct"/>
            <w:shd w:val="clear" w:color="auto" w:fill="auto"/>
            <w:vAlign w:val="center"/>
            <w:hideMark/>
          </w:tcPr>
          <w:p w14:paraId="76A8D4EE" w14:textId="77777777" w:rsidR="00FE7A71" w:rsidRPr="0021662B" w:rsidRDefault="00FE7A71" w:rsidP="00AF0AF5">
            <w:pPr>
              <w:widowControl/>
              <w:spacing w:line="360" w:lineRule="auto"/>
              <w:jc w:val="left"/>
              <w:rPr>
                <w:rFonts w:ascii="Times New Roman" w:eastAsia="宋体" w:hAnsi="Times New Roman" w:cs="Times New Roman"/>
                <w:color w:val="000000"/>
                <w:kern w:val="0"/>
                <w:szCs w:val="21"/>
              </w:rPr>
            </w:pPr>
            <w:r w:rsidRPr="0021662B">
              <w:rPr>
                <w:rFonts w:ascii="Times New Roman" w:eastAsia="宋体" w:hAnsi="Times New Roman" w:cs="Times New Roman"/>
                <w:color w:val="000000"/>
                <w:kern w:val="0"/>
                <w:szCs w:val="21"/>
              </w:rPr>
              <w:t>资产</w:t>
            </w:r>
          </w:p>
        </w:tc>
        <w:tc>
          <w:tcPr>
            <w:tcW w:w="665" w:type="pct"/>
          </w:tcPr>
          <w:p w14:paraId="45FD97F6" w14:textId="77777777" w:rsidR="00FE7A71" w:rsidRPr="0021662B" w:rsidRDefault="00FE7A71" w:rsidP="00AF0AF5">
            <w:pPr>
              <w:widowControl/>
              <w:spacing w:line="360" w:lineRule="auto"/>
              <w:jc w:val="center"/>
              <w:rPr>
                <w:rFonts w:ascii="Times New Roman" w:eastAsia="宋体" w:hAnsi="Times New Roman" w:cs="Times New Roman"/>
                <w:szCs w:val="21"/>
              </w:rPr>
            </w:pPr>
            <w:r w:rsidRPr="0021662B">
              <w:rPr>
                <w:rFonts w:ascii="Times New Roman" w:eastAsia="宋体" w:hAnsi="Times New Roman" w:cs="Times New Roman"/>
                <w:szCs w:val="21"/>
              </w:rPr>
              <w:t>9362.97</w:t>
            </w:r>
          </w:p>
        </w:tc>
        <w:tc>
          <w:tcPr>
            <w:tcW w:w="1030" w:type="pct"/>
            <w:shd w:val="clear" w:color="auto" w:fill="auto"/>
            <w:vAlign w:val="bottom"/>
            <w:hideMark/>
          </w:tcPr>
          <w:p w14:paraId="2CBB889E" w14:textId="77777777" w:rsidR="00FE7A71" w:rsidRPr="0021662B" w:rsidRDefault="00FE7A71" w:rsidP="00AF0AF5">
            <w:pPr>
              <w:widowControl/>
              <w:spacing w:line="360" w:lineRule="auto"/>
              <w:jc w:val="center"/>
              <w:rPr>
                <w:rFonts w:ascii="Times New Roman" w:eastAsia="宋体" w:hAnsi="Times New Roman" w:cs="Times New Roman"/>
                <w:color w:val="000000"/>
                <w:kern w:val="0"/>
                <w:szCs w:val="21"/>
              </w:rPr>
            </w:pPr>
            <w:r w:rsidRPr="0021662B">
              <w:rPr>
                <w:rFonts w:ascii="Times New Roman" w:eastAsia="宋体" w:hAnsi="Times New Roman" w:cs="Times New Roman"/>
                <w:color w:val="000000"/>
                <w:kern w:val="0"/>
                <w:szCs w:val="21"/>
              </w:rPr>
              <w:t>95816.83</w:t>
            </w:r>
          </w:p>
        </w:tc>
        <w:tc>
          <w:tcPr>
            <w:tcW w:w="1057" w:type="pct"/>
          </w:tcPr>
          <w:p w14:paraId="3174DD7B" w14:textId="77777777" w:rsidR="00FE7A71" w:rsidRPr="0021662B" w:rsidRDefault="00FE7A71" w:rsidP="00AF0AF5">
            <w:pPr>
              <w:widowControl/>
              <w:spacing w:line="360" w:lineRule="auto"/>
              <w:jc w:val="center"/>
              <w:rPr>
                <w:rFonts w:ascii="Times New Roman" w:eastAsia="宋体" w:hAnsi="Times New Roman" w:cs="Times New Roman"/>
                <w:color w:val="000000"/>
                <w:szCs w:val="21"/>
              </w:rPr>
            </w:pPr>
            <w:r w:rsidRPr="0021662B">
              <w:rPr>
                <w:rFonts w:ascii="Times New Roman" w:eastAsia="宋体" w:hAnsi="Times New Roman" w:cs="Times New Roman"/>
                <w:color w:val="000000"/>
                <w:szCs w:val="21"/>
              </w:rPr>
              <w:t>105896.28</w:t>
            </w:r>
          </w:p>
        </w:tc>
        <w:tc>
          <w:tcPr>
            <w:tcW w:w="1269" w:type="pct"/>
            <w:shd w:val="clear" w:color="auto" w:fill="auto"/>
            <w:vAlign w:val="center"/>
            <w:hideMark/>
          </w:tcPr>
          <w:p w14:paraId="6B61877B" w14:textId="77777777" w:rsidR="00FE7A71" w:rsidRPr="0021662B" w:rsidRDefault="00FE7A71" w:rsidP="00AF0AF5">
            <w:pPr>
              <w:widowControl/>
              <w:spacing w:line="360" w:lineRule="auto"/>
              <w:jc w:val="center"/>
              <w:rPr>
                <w:rFonts w:ascii="Times New Roman" w:eastAsia="宋体" w:hAnsi="Times New Roman" w:cs="Times New Roman"/>
                <w:color w:val="000000"/>
                <w:kern w:val="0"/>
                <w:szCs w:val="21"/>
              </w:rPr>
            </w:pPr>
            <w:r w:rsidRPr="0021662B">
              <w:rPr>
                <w:rFonts w:ascii="Times New Roman" w:eastAsia="宋体" w:hAnsi="Times New Roman" w:cs="Times New Roman"/>
                <w:color w:val="000000"/>
                <w:kern w:val="0"/>
                <w:szCs w:val="21"/>
              </w:rPr>
              <w:t>343996.48</w:t>
            </w:r>
          </w:p>
        </w:tc>
      </w:tr>
      <w:tr w:rsidR="00FE7A71" w:rsidRPr="0021662B" w14:paraId="33A4F3C7" w14:textId="77777777" w:rsidTr="0021662B">
        <w:trPr>
          <w:trHeight w:val="319"/>
          <w:jc w:val="center"/>
        </w:trPr>
        <w:tc>
          <w:tcPr>
            <w:tcW w:w="979" w:type="pct"/>
            <w:shd w:val="clear" w:color="auto" w:fill="auto"/>
            <w:vAlign w:val="center"/>
            <w:hideMark/>
          </w:tcPr>
          <w:p w14:paraId="25FE4FBD" w14:textId="77777777" w:rsidR="00FE7A71" w:rsidRPr="0021662B" w:rsidRDefault="00FE7A71" w:rsidP="00AF0AF5">
            <w:pPr>
              <w:widowControl/>
              <w:spacing w:line="360" w:lineRule="auto"/>
              <w:jc w:val="left"/>
              <w:rPr>
                <w:rFonts w:ascii="Times New Roman" w:eastAsia="宋体" w:hAnsi="Times New Roman" w:cs="Times New Roman"/>
                <w:color w:val="000000"/>
                <w:kern w:val="0"/>
                <w:szCs w:val="21"/>
              </w:rPr>
            </w:pPr>
            <w:r w:rsidRPr="0021662B">
              <w:rPr>
                <w:rFonts w:ascii="Times New Roman" w:eastAsia="宋体" w:hAnsi="Times New Roman" w:cs="Times New Roman"/>
                <w:color w:val="000000"/>
                <w:kern w:val="0"/>
                <w:szCs w:val="21"/>
              </w:rPr>
              <w:t>资产：直接投资</w:t>
            </w:r>
          </w:p>
        </w:tc>
        <w:tc>
          <w:tcPr>
            <w:tcW w:w="665" w:type="pct"/>
          </w:tcPr>
          <w:p w14:paraId="2845C80C" w14:textId="77777777" w:rsidR="00FE7A71" w:rsidRPr="0021662B" w:rsidRDefault="00FE7A71" w:rsidP="00AF0AF5">
            <w:pPr>
              <w:widowControl/>
              <w:spacing w:line="360" w:lineRule="auto"/>
              <w:jc w:val="center"/>
              <w:rPr>
                <w:rFonts w:ascii="Times New Roman" w:eastAsia="宋体" w:hAnsi="Times New Roman" w:cs="Times New Roman"/>
                <w:szCs w:val="21"/>
              </w:rPr>
            </w:pPr>
            <w:r w:rsidRPr="0021662B">
              <w:rPr>
                <w:rFonts w:ascii="Times New Roman" w:eastAsia="宋体" w:hAnsi="Times New Roman" w:cs="Times New Roman"/>
                <w:szCs w:val="21"/>
              </w:rPr>
              <w:t>596.39</w:t>
            </w:r>
          </w:p>
        </w:tc>
        <w:tc>
          <w:tcPr>
            <w:tcW w:w="1030" w:type="pct"/>
            <w:shd w:val="clear" w:color="auto" w:fill="auto"/>
            <w:vAlign w:val="bottom"/>
            <w:hideMark/>
          </w:tcPr>
          <w:p w14:paraId="18184BA7" w14:textId="77777777" w:rsidR="00FE7A71" w:rsidRPr="0021662B" w:rsidRDefault="00FE7A71" w:rsidP="00AF0AF5">
            <w:pPr>
              <w:widowControl/>
              <w:spacing w:line="360" w:lineRule="auto"/>
              <w:jc w:val="center"/>
              <w:rPr>
                <w:rFonts w:ascii="Times New Roman" w:eastAsia="宋体" w:hAnsi="Times New Roman" w:cs="Times New Roman"/>
                <w:color w:val="000000"/>
                <w:kern w:val="0"/>
                <w:szCs w:val="21"/>
              </w:rPr>
            </w:pPr>
            <w:r w:rsidRPr="0021662B">
              <w:rPr>
                <w:rFonts w:ascii="Times New Roman" w:eastAsia="宋体" w:hAnsi="Times New Roman" w:cs="Times New Roman"/>
                <w:color w:val="000000"/>
                <w:kern w:val="0"/>
                <w:szCs w:val="21"/>
              </w:rPr>
              <w:t>29391.09</w:t>
            </w:r>
          </w:p>
        </w:tc>
        <w:tc>
          <w:tcPr>
            <w:tcW w:w="1057" w:type="pct"/>
          </w:tcPr>
          <w:p w14:paraId="771B1098" w14:textId="77777777" w:rsidR="00FE7A71" w:rsidRPr="0021662B" w:rsidRDefault="00FE7A71" w:rsidP="00AF0AF5">
            <w:pPr>
              <w:widowControl/>
              <w:spacing w:line="360" w:lineRule="auto"/>
              <w:jc w:val="center"/>
              <w:rPr>
                <w:rFonts w:ascii="Times New Roman" w:eastAsia="宋体" w:hAnsi="Times New Roman" w:cs="Times New Roman"/>
                <w:color w:val="000000"/>
                <w:szCs w:val="21"/>
              </w:rPr>
            </w:pPr>
            <w:r w:rsidRPr="0021662B">
              <w:rPr>
                <w:rFonts w:ascii="Times New Roman" w:eastAsia="宋体" w:hAnsi="Times New Roman" w:cs="Times New Roman"/>
                <w:color w:val="000000"/>
                <w:szCs w:val="21"/>
              </w:rPr>
              <w:t>37468.63</w:t>
            </w:r>
          </w:p>
        </w:tc>
        <w:tc>
          <w:tcPr>
            <w:tcW w:w="1269" w:type="pct"/>
            <w:shd w:val="clear" w:color="auto" w:fill="auto"/>
            <w:vAlign w:val="center"/>
            <w:hideMark/>
          </w:tcPr>
          <w:p w14:paraId="645889A2" w14:textId="77777777" w:rsidR="00FE7A71" w:rsidRPr="0021662B" w:rsidRDefault="00FE7A71" w:rsidP="00AF0AF5">
            <w:pPr>
              <w:widowControl/>
              <w:spacing w:line="360" w:lineRule="auto"/>
              <w:jc w:val="center"/>
              <w:rPr>
                <w:rFonts w:ascii="Times New Roman" w:eastAsia="宋体" w:hAnsi="Times New Roman" w:cs="Times New Roman"/>
                <w:color w:val="000000"/>
                <w:kern w:val="0"/>
                <w:szCs w:val="21"/>
              </w:rPr>
            </w:pPr>
            <w:r w:rsidRPr="0021662B">
              <w:rPr>
                <w:rFonts w:ascii="Times New Roman" w:eastAsia="宋体" w:hAnsi="Times New Roman" w:cs="Times New Roman"/>
                <w:color w:val="000000"/>
                <w:kern w:val="0"/>
                <w:szCs w:val="21"/>
              </w:rPr>
              <w:t>106068.10</w:t>
            </w:r>
          </w:p>
        </w:tc>
      </w:tr>
      <w:tr w:rsidR="00FE7A71" w:rsidRPr="0021662B" w14:paraId="75BF6391" w14:textId="77777777" w:rsidTr="0021662B">
        <w:trPr>
          <w:trHeight w:val="280"/>
          <w:jc w:val="center"/>
        </w:trPr>
        <w:tc>
          <w:tcPr>
            <w:tcW w:w="979" w:type="pct"/>
            <w:shd w:val="clear" w:color="auto" w:fill="auto"/>
            <w:vAlign w:val="center"/>
            <w:hideMark/>
          </w:tcPr>
          <w:p w14:paraId="5A28F0A8" w14:textId="77777777" w:rsidR="00FE7A71" w:rsidRPr="0021662B" w:rsidRDefault="00FE7A71" w:rsidP="00AF0AF5">
            <w:pPr>
              <w:widowControl/>
              <w:spacing w:line="360" w:lineRule="auto"/>
              <w:jc w:val="left"/>
              <w:rPr>
                <w:rFonts w:ascii="Times New Roman" w:eastAsia="宋体" w:hAnsi="Times New Roman" w:cs="Times New Roman"/>
                <w:color w:val="000000"/>
                <w:kern w:val="0"/>
                <w:szCs w:val="21"/>
              </w:rPr>
            </w:pPr>
            <w:r w:rsidRPr="0021662B">
              <w:rPr>
                <w:rFonts w:ascii="Times New Roman" w:eastAsia="宋体" w:hAnsi="Times New Roman" w:cs="Times New Roman"/>
                <w:color w:val="000000"/>
                <w:kern w:val="0"/>
                <w:szCs w:val="21"/>
              </w:rPr>
              <w:t>资产：证券投资</w:t>
            </w:r>
          </w:p>
        </w:tc>
        <w:tc>
          <w:tcPr>
            <w:tcW w:w="665" w:type="pct"/>
          </w:tcPr>
          <w:p w14:paraId="6FA5554A" w14:textId="77777777" w:rsidR="00FE7A71" w:rsidRPr="0021662B" w:rsidRDefault="00FE7A71" w:rsidP="00AF0AF5">
            <w:pPr>
              <w:widowControl/>
              <w:spacing w:line="360" w:lineRule="auto"/>
              <w:jc w:val="center"/>
              <w:rPr>
                <w:rFonts w:ascii="Times New Roman" w:eastAsia="宋体" w:hAnsi="Times New Roman" w:cs="Times New Roman"/>
                <w:szCs w:val="21"/>
              </w:rPr>
            </w:pPr>
            <w:r w:rsidRPr="0021662B">
              <w:rPr>
                <w:rFonts w:ascii="Times New Roman" w:eastAsia="宋体" w:hAnsi="Times New Roman" w:cs="Times New Roman"/>
                <w:szCs w:val="21"/>
              </w:rPr>
              <w:t>922.31</w:t>
            </w:r>
          </w:p>
        </w:tc>
        <w:tc>
          <w:tcPr>
            <w:tcW w:w="1030" w:type="pct"/>
            <w:shd w:val="clear" w:color="auto" w:fill="auto"/>
            <w:vAlign w:val="bottom"/>
            <w:hideMark/>
          </w:tcPr>
          <w:p w14:paraId="34C5E62E" w14:textId="77777777" w:rsidR="00FE7A71" w:rsidRPr="0021662B" w:rsidRDefault="00FE7A71" w:rsidP="00AF0AF5">
            <w:pPr>
              <w:widowControl/>
              <w:spacing w:line="360" w:lineRule="auto"/>
              <w:jc w:val="center"/>
              <w:rPr>
                <w:rFonts w:ascii="Times New Roman" w:eastAsia="宋体" w:hAnsi="Times New Roman" w:cs="Times New Roman"/>
                <w:color w:val="000000"/>
                <w:kern w:val="0"/>
                <w:szCs w:val="21"/>
              </w:rPr>
            </w:pPr>
            <w:r w:rsidRPr="0021662B">
              <w:rPr>
                <w:rFonts w:ascii="Times New Roman" w:eastAsia="宋体" w:hAnsi="Times New Roman" w:cs="Times New Roman"/>
                <w:color w:val="000000"/>
                <w:kern w:val="0"/>
                <w:szCs w:val="21"/>
              </w:rPr>
              <w:t>10983.61</w:t>
            </w:r>
          </w:p>
        </w:tc>
        <w:tc>
          <w:tcPr>
            <w:tcW w:w="1057" w:type="pct"/>
          </w:tcPr>
          <w:p w14:paraId="271C3493" w14:textId="77777777" w:rsidR="00FE7A71" w:rsidRPr="0021662B" w:rsidRDefault="00FE7A71" w:rsidP="00AF0AF5">
            <w:pPr>
              <w:widowControl/>
              <w:spacing w:line="360" w:lineRule="auto"/>
              <w:jc w:val="center"/>
              <w:rPr>
                <w:rFonts w:ascii="Times New Roman" w:eastAsia="宋体" w:hAnsi="Times New Roman" w:cs="Times New Roman"/>
                <w:color w:val="000000"/>
                <w:szCs w:val="21"/>
              </w:rPr>
            </w:pPr>
            <w:r w:rsidRPr="0021662B">
              <w:rPr>
                <w:rFonts w:ascii="Times New Roman" w:eastAsia="宋体" w:hAnsi="Times New Roman" w:cs="Times New Roman"/>
                <w:color w:val="000000"/>
                <w:szCs w:val="21"/>
              </w:rPr>
              <w:t>38283.05</w:t>
            </w:r>
          </w:p>
        </w:tc>
        <w:tc>
          <w:tcPr>
            <w:tcW w:w="1269" w:type="pct"/>
            <w:shd w:val="clear" w:color="auto" w:fill="auto"/>
            <w:vAlign w:val="center"/>
            <w:hideMark/>
          </w:tcPr>
          <w:p w14:paraId="0019B848" w14:textId="77777777" w:rsidR="00FE7A71" w:rsidRPr="0021662B" w:rsidRDefault="00FE7A71" w:rsidP="00AF0AF5">
            <w:pPr>
              <w:widowControl/>
              <w:spacing w:line="360" w:lineRule="auto"/>
              <w:jc w:val="center"/>
              <w:rPr>
                <w:rFonts w:ascii="Times New Roman" w:eastAsia="宋体" w:hAnsi="Times New Roman" w:cs="Times New Roman"/>
                <w:color w:val="000000"/>
                <w:kern w:val="0"/>
                <w:szCs w:val="21"/>
              </w:rPr>
            </w:pPr>
            <w:r w:rsidRPr="0021662B">
              <w:rPr>
                <w:rFonts w:ascii="Times New Roman" w:eastAsia="宋体" w:hAnsi="Times New Roman" w:cs="Times New Roman"/>
                <w:color w:val="000000"/>
                <w:kern w:val="0"/>
                <w:szCs w:val="21"/>
              </w:rPr>
              <w:t>153341.28</w:t>
            </w:r>
          </w:p>
        </w:tc>
      </w:tr>
      <w:tr w:rsidR="00FE7A71" w:rsidRPr="0021662B" w14:paraId="59ACBEF3" w14:textId="77777777" w:rsidTr="0021662B">
        <w:trPr>
          <w:trHeight w:val="294"/>
          <w:jc w:val="center"/>
        </w:trPr>
        <w:tc>
          <w:tcPr>
            <w:tcW w:w="979" w:type="pct"/>
            <w:shd w:val="clear" w:color="auto" w:fill="auto"/>
            <w:vAlign w:val="center"/>
            <w:hideMark/>
          </w:tcPr>
          <w:p w14:paraId="4A5BA178" w14:textId="77777777" w:rsidR="00FE7A71" w:rsidRPr="0021662B" w:rsidRDefault="00FE7A71" w:rsidP="00AF0AF5">
            <w:pPr>
              <w:widowControl/>
              <w:spacing w:line="360" w:lineRule="auto"/>
              <w:jc w:val="left"/>
              <w:rPr>
                <w:rFonts w:ascii="Times New Roman" w:eastAsia="宋体" w:hAnsi="Times New Roman" w:cs="Times New Roman"/>
                <w:color w:val="000000"/>
                <w:kern w:val="0"/>
                <w:szCs w:val="21"/>
              </w:rPr>
            </w:pPr>
            <w:r w:rsidRPr="0021662B">
              <w:rPr>
                <w:rFonts w:ascii="Times New Roman" w:eastAsia="宋体" w:hAnsi="Times New Roman" w:cs="Times New Roman"/>
                <w:color w:val="000000"/>
                <w:kern w:val="0"/>
                <w:szCs w:val="21"/>
              </w:rPr>
              <w:t>负债</w:t>
            </w:r>
          </w:p>
        </w:tc>
        <w:tc>
          <w:tcPr>
            <w:tcW w:w="665" w:type="pct"/>
          </w:tcPr>
          <w:p w14:paraId="384E605F" w14:textId="77777777" w:rsidR="00FE7A71" w:rsidRPr="0021662B" w:rsidRDefault="00FE7A71" w:rsidP="00AF0AF5">
            <w:pPr>
              <w:widowControl/>
              <w:spacing w:line="360" w:lineRule="auto"/>
              <w:jc w:val="center"/>
              <w:rPr>
                <w:rFonts w:ascii="Times New Roman" w:eastAsia="宋体" w:hAnsi="Times New Roman" w:cs="Times New Roman"/>
                <w:szCs w:val="21"/>
              </w:rPr>
            </w:pPr>
            <w:r w:rsidRPr="0021662B">
              <w:rPr>
                <w:rFonts w:ascii="Times New Roman" w:eastAsia="宋体" w:hAnsi="Times New Roman" w:cs="Times New Roman"/>
                <w:szCs w:val="21"/>
              </w:rPr>
              <w:t>6954.14</w:t>
            </w:r>
          </w:p>
        </w:tc>
        <w:tc>
          <w:tcPr>
            <w:tcW w:w="1030" w:type="pct"/>
            <w:shd w:val="clear" w:color="auto" w:fill="auto"/>
            <w:vAlign w:val="bottom"/>
            <w:hideMark/>
          </w:tcPr>
          <w:p w14:paraId="31D3E5F1" w14:textId="77777777" w:rsidR="00FE7A71" w:rsidRPr="0021662B" w:rsidRDefault="00FE7A71" w:rsidP="00AF0AF5">
            <w:pPr>
              <w:widowControl/>
              <w:spacing w:line="360" w:lineRule="auto"/>
              <w:jc w:val="center"/>
              <w:rPr>
                <w:rFonts w:ascii="Times New Roman" w:eastAsia="宋体" w:hAnsi="Times New Roman" w:cs="Times New Roman"/>
                <w:color w:val="000000"/>
                <w:kern w:val="0"/>
                <w:szCs w:val="21"/>
              </w:rPr>
            </w:pPr>
            <w:r w:rsidRPr="0021662B">
              <w:rPr>
                <w:rFonts w:ascii="Times New Roman" w:eastAsia="宋体" w:hAnsi="Times New Roman" w:cs="Times New Roman"/>
                <w:color w:val="000000"/>
                <w:kern w:val="0"/>
                <w:szCs w:val="21"/>
              </w:rPr>
              <w:t>66734.79</w:t>
            </w:r>
          </w:p>
        </w:tc>
        <w:tc>
          <w:tcPr>
            <w:tcW w:w="1057" w:type="pct"/>
          </w:tcPr>
          <w:p w14:paraId="292928B1" w14:textId="77777777" w:rsidR="00FE7A71" w:rsidRPr="0021662B" w:rsidRDefault="00FE7A71" w:rsidP="00AF0AF5">
            <w:pPr>
              <w:widowControl/>
              <w:spacing w:line="360" w:lineRule="auto"/>
              <w:jc w:val="center"/>
              <w:rPr>
                <w:rFonts w:ascii="Times New Roman" w:eastAsia="宋体" w:hAnsi="Times New Roman" w:cs="Times New Roman"/>
                <w:color w:val="000000"/>
                <w:szCs w:val="21"/>
              </w:rPr>
            </w:pPr>
            <w:r w:rsidRPr="0021662B">
              <w:rPr>
                <w:rFonts w:ascii="Times New Roman" w:eastAsia="宋体" w:hAnsi="Times New Roman" w:cs="Times New Roman"/>
                <w:color w:val="000000"/>
                <w:szCs w:val="21"/>
              </w:rPr>
              <w:t>129523.95</w:t>
            </w:r>
          </w:p>
        </w:tc>
        <w:tc>
          <w:tcPr>
            <w:tcW w:w="1269" w:type="pct"/>
            <w:shd w:val="clear" w:color="auto" w:fill="auto"/>
            <w:vAlign w:val="center"/>
            <w:hideMark/>
          </w:tcPr>
          <w:p w14:paraId="2B0AD57C" w14:textId="77777777" w:rsidR="00FE7A71" w:rsidRPr="0021662B" w:rsidRDefault="00FE7A71" w:rsidP="00AF0AF5">
            <w:pPr>
              <w:widowControl/>
              <w:spacing w:line="360" w:lineRule="auto"/>
              <w:jc w:val="center"/>
              <w:rPr>
                <w:rFonts w:ascii="Times New Roman" w:eastAsia="宋体" w:hAnsi="Times New Roman" w:cs="Times New Roman"/>
                <w:color w:val="000000"/>
                <w:kern w:val="0"/>
                <w:szCs w:val="21"/>
              </w:rPr>
            </w:pPr>
            <w:r w:rsidRPr="0021662B">
              <w:rPr>
                <w:rFonts w:ascii="Times New Roman" w:eastAsia="宋体" w:hAnsi="Times New Roman" w:cs="Times New Roman"/>
                <w:color w:val="000000"/>
                <w:kern w:val="0"/>
                <w:szCs w:val="21"/>
              </w:rPr>
              <w:t>542528.01</w:t>
            </w:r>
          </w:p>
        </w:tc>
      </w:tr>
      <w:tr w:rsidR="00FE7A71" w:rsidRPr="0021662B" w14:paraId="16AB9ACE" w14:textId="77777777" w:rsidTr="0021662B">
        <w:trPr>
          <w:trHeight w:val="369"/>
          <w:jc w:val="center"/>
        </w:trPr>
        <w:tc>
          <w:tcPr>
            <w:tcW w:w="979" w:type="pct"/>
            <w:shd w:val="clear" w:color="auto" w:fill="auto"/>
            <w:vAlign w:val="center"/>
            <w:hideMark/>
          </w:tcPr>
          <w:p w14:paraId="5326665D" w14:textId="77777777" w:rsidR="00FE7A71" w:rsidRPr="0021662B" w:rsidRDefault="00FE7A71" w:rsidP="00AF0AF5">
            <w:pPr>
              <w:widowControl/>
              <w:spacing w:line="360" w:lineRule="auto"/>
              <w:jc w:val="left"/>
              <w:rPr>
                <w:rFonts w:ascii="Times New Roman" w:eastAsia="宋体" w:hAnsi="Times New Roman" w:cs="Times New Roman"/>
                <w:color w:val="000000"/>
                <w:kern w:val="0"/>
                <w:szCs w:val="21"/>
              </w:rPr>
            </w:pPr>
            <w:r w:rsidRPr="0021662B">
              <w:rPr>
                <w:rFonts w:ascii="Times New Roman" w:eastAsia="宋体" w:hAnsi="Times New Roman" w:cs="Times New Roman"/>
                <w:color w:val="000000"/>
                <w:kern w:val="0"/>
                <w:szCs w:val="21"/>
              </w:rPr>
              <w:t>负债：直接投资</w:t>
            </w:r>
          </w:p>
        </w:tc>
        <w:tc>
          <w:tcPr>
            <w:tcW w:w="665" w:type="pct"/>
          </w:tcPr>
          <w:p w14:paraId="0331E1D2" w14:textId="77777777" w:rsidR="00FE7A71" w:rsidRPr="0021662B" w:rsidRDefault="00FE7A71" w:rsidP="00AF0AF5">
            <w:pPr>
              <w:widowControl/>
              <w:spacing w:line="360" w:lineRule="auto"/>
              <w:jc w:val="center"/>
              <w:rPr>
                <w:rFonts w:ascii="Times New Roman" w:eastAsia="宋体" w:hAnsi="Times New Roman" w:cs="Times New Roman"/>
                <w:szCs w:val="21"/>
              </w:rPr>
            </w:pPr>
            <w:r w:rsidRPr="0021662B">
              <w:rPr>
                <w:rFonts w:ascii="Times New Roman" w:eastAsia="宋体" w:hAnsi="Times New Roman" w:cs="Times New Roman"/>
                <w:szCs w:val="21"/>
              </w:rPr>
              <w:t>3690.70</w:t>
            </w:r>
          </w:p>
        </w:tc>
        <w:tc>
          <w:tcPr>
            <w:tcW w:w="1030" w:type="pct"/>
            <w:shd w:val="clear" w:color="auto" w:fill="auto"/>
            <w:vAlign w:val="bottom"/>
            <w:hideMark/>
          </w:tcPr>
          <w:p w14:paraId="2BB0D536" w14:textId="77777777" w:rsidR="00FE7A71" w:rsidRPr="0021662B" w:rsidRDefault="00FE7A71" w:rsidP="00AF0AF5">
            <w:pPr>
              <w:widowControl/>
              <w:spacing w:line="360" w:lineRule="auto"/>
              <w:jc w:val="center"/>
              <w:rPr>
                <w:rFonts w:ascii="Times New Roman" w:eastAsia="宋体" w:hAnsi="Times New Roman" w:cs="Times New Roman"/>
                <w:color w:val="000000"/>
                <w:kern w:val="0"/>
                <w:szCs w:val="21"/>
              </w:rPr>
            </w:pPr>
            <w:r w:rsidRPr="0021662B">
              <w:rPr>
                <w:rFonts w:ascii="Times New Roman" w:eastAsia="宋体" w:hAnsi="Times New Roman" w:cs="Times New Roman"/>
                <w:color w:val="000000"/>
                <w:kern w:val="0"/>
                <w:szCs w:val="21"/>
              </w:rPr>
              <w:t>35531.35</w:t>
            </w:r>
          </w:p>
        </w:tc>
        <w:tc>
          <w:tcPr>
            <w:tcW w:w="1057" w:type="pct"/>
          </w:tcPr>
          <w:p w14:paraId="39F03AA2" w14:textId="77777777" w:rsidR="00FE7A71" w:rsidRPr="0021662B" w:rsidRDefault="00FE7A71" w:rsidP="00AF0AF5">
            <w:pPr>
              <w:widowControl/>
              <w:spacing w:line="360" w:lineRule="auto"/>
              <w:jc w:val="center"/>
              <w:rPr>
                <w:rFonts w:ascii="Times New Roman" w:eastAsia="宋体" w:hAnsi="Times New Roman" w:cs="Times New Roman"/>
                <w:color w:val="000000"/>
                <w:szCs w:val="21"/>
              </w:rPr>
            </w:pPr>
            <w:r w:rsidRPr="0021662B">
              <w:rPr>
                <w:rFonts w:ascii="Times New Roman" w:eastAsia="宋体" w:hAnsi="Times New Roman" w:cs="Times New Roman"/>
                <w:color w:val="000000"/>
                <w:szCs w:val="21"/>
              </w:rPr>
              <w:t>31014.50</w:t>
            </w:r>
          </w:p>
        </w:tc>
        <w:tc>
          <w:tcPr>
            <w:tcW w:w="1269" w:type="pct"/>
            <w:shd w:val="clear" w:color="auto" w:fill="auto"/>
            <w:vAlign w:val="center"/>
            <w:hideMark/>
          </w:tcPr>
          <w:p w14:paraId="5006244E" w14:textId="77777777" w:rsidR="00FE7A71" w:rsidRPr="0021662B" w:rsidRDefault="00FE7A71" w:rsidP="00AF0AF5">
            <w:pPr>
              <w:widowControl/>
              <w:spacing w:line="360" w:lineRule="auto"/>
              <w:jc w:val="center"/>
              <w:rPr>
                <w:rFonts w:ascii="Times New Roman" w:eastAsia="宋体" w:hAnsi="Times New Roman" w:cs="Times New Roman"/>
                <w:color w:val="000000"/>
                <w:kern w:val="0"/>
                <w:szCs w:val="21"/>
              </w:rPr>
            </w:pPr>
            <w:r w:rsidRPr="0021662B">
              <w:rPr>
                <w:rFonts w:ascii="Times New Roman" w:eastAsia="宋体" w:hAnsi="Times New Roman" w:cs="Times New Roman"/>
                <w:color w:val="000000"/>
                <w:kern w:val="0"/>
                <w:szCs w:val="21"/>
              </w:rPr>
              <w:t>148090.94</w:t>
            </w:r>
          </w:p>
        </w:tc>
      </w:tr>
      <w:tr w:rsidR="00FE7A71" w:rsidRPr="0021662B" w14:paraId="39D543B1" w14:textId="77777777" w:rsidTr="0021662B">
        <w:trPr>
          <w:trHeight w:val="253"/>
          <w:jc w:val="center"/>
        </w:trPr>
        <w:tc>
          <w:tcPr>
            <w:tcW w:w="979" w:type="pct"/>
            <w:shd w:val="clear" w:color="auto" w:fill="auto"/>
            <w:vAlign w:val="center"/>
            <w:hideMark/>
          </w:tcPr>
          <w:p w14:paraId="505E9BD7" w14:textId="77777777" w:rsidR="00FE7A71" w:rsidRPr="0021662B" w:rsidRDefault="00FE7A71" w:rsidP="00AF0AF5">
            <w:pPr>
              <w:widowControl/>
              <w:spacing w:line="360" w:lineRule="auto"/>
              <w:jc w:val="left"/>
              <w:rPr>
                <w:rFonts w:ascii="Times New Roman" w:eastAsia="宋体" w:hAnsi="Times New Roman" w:cs="Times New Roman"/>
                <w:color w:val="000000"/>
                <w:kern w:val="0"/>
                <w:szCs w:val="21"/>
              </w:rPr>
            </w:pPr>
            <w:r w:rsidRPr="0021662B">
              <w:rPr>
                <w:rFonts w:ascii="Times New Roman" w:eastAsia="宋体" w:hAnsi="Times New Roman" w:cs="Times New Roman"/>
                <w:color w:val="000000"/>
                <w:kern w:val="0"/>
                <w:szCs w:val="21"/>
              </w:rPr>
              <w:t>负债：证券投资</w:t>
            </w:r>
          </w:p>
        </w:tc>
        <w:tc>
          <w:tcPr>
            <w:tcW w:w="665" w:type="pct"/>
          </w:tcPr>
          <w:p w14:paraId="588D5A20" w14:textId="77777777" w:rsidR="00FE7A71" w:rsidRPr="0021662B" w:rsidRDefault="00FE7A71" w:rsidP="00AF0AF5">
            <w:pPr>
              <w:widowControl/>
              <w:spacing w:line="360" w:lineRule="auto"/>
              <w:jc w:val="center"/>
              <w:rPr>
                <w:rFonts w:ascii="Times New Roman" w:eastAsia="宋体" w:hAnsi="Times New Roman" w:cs="Times New Roman"/>
                <w:szCs w:val="21"/>
              </w:rPr>
            </w:pPr>
            <w:r w:rsidRPr="0021662B">
              <w:rPr>
                <w:rFonts w:ascii="Times New Roman" w:eastAsia="宋体" w:hAnsi="Times New Roman" w:cs="Times New Roman"/>
                <w:szCs w:val="21"/>
              </w:rPr>
              <w:t>994.60</w:t>
            </w:r>
          </w:p>
        </w:tc>
        <w:tc>
          <w:tcPr>
            <w:tcW w:w="1030" w:type="pct"/>
            <w:shd w:val="clear" w:color="auto" w:fill="auto"/>
            <w:vAlign w:val="bottom"/>
            <w:hideMark/>
          </w:tcPr>
          <w:p w14:paraId="41C7615B" w14:textId="77777777" w:rsidR="00FE7A71" w:rsidRPr="0021662B" w:rsidRDefault="00FE7A71" w:rsidP="00AF0AF5">
            <w:pPr>
              <w:widowControl/>
              <w:spacing w:line="360" w:lineRule="auto"/>
              <w:jc w:val="center"/>
              <w:rPr>
                <w:rFonts w:ascii="Times New Roman" w:eastAsia="宋体" w:hAnsi="Times New Roman" w:cs="Times New Roman"/>
                <w:color w:val="000000"/>
                <w:kern w:val="0"/>
                <w:szCs w:val="21"/>
              </w:rPr>
            </w:pPr>
            <w:r w:rsidRPr="0021662B">
              <w:rPr>
                <w:rFonts w:ascii="Times New Roman" w:eastAsia="宋体" w:hAnsi="Times New Roman" w:cs="Times New Roman"/>
                <w:color w:val="000000"/>
                <w:kern w:val="0"/>
                <w:szCs w:val="21"/>
              </w:rPr>
              <w:t>17016.27</w:t>
            </w:r>
          </w:p>
        </w:tc>
        <w:tc>
          <w:tcPr>
            <w:tcW w:w="1057" w:type="pct"/>
          </w:tcPr>
          <w:p w14:paraId="18EEB0D6" w14:textId="77777777" w:rsidR="00FE7A71" w:rsidRPr="0021662B" w:rsidRDefault="00FE7A71" w:rsidP="00AF0AF5">
            <w:pPr>
              <w:widowControl/>
              <w:spacing w:line="360" w:lineRule="auto"/>
              <w:jc w:val="center"/>
              <w:rPr>
                <w:rFonts w:ascii="Times New Roman" w:eastAsia="宋体" w:hAnsi="Times New Roman" w:cs="Times New Roman"/>
                <w:color w:val="000000"/>
                <w:szCs w:val="21"/>
              </w:rPr>
            </w:pPr>
            <w:r w:rsidRPr="0021662B">
              <w:rPr>
                <w:rFonts w:ascii="Times New Roman" w:eastAsia="宋体" w:hAnsi="Times New Roman" w:cs="Times New Roman"/>
                <w:color w:val="000000"/>
                <w:szCs w:val="21"/>
              </w:rPr>
              <w:t>66212.26</w:t>
            </w:r>
          </w:p>
        </w:tc>
        <w:tc>
          <w:tcPr>
            <w:tcW w:w="1269" w:type="pct"/>
            <w:shd w:val="clear" w:color="auto" w:fill="auto"/>
            <w:vAlign w:val="center"/>
            <w:hideMark/>
          </w:tcPr>
          <w:p w14:paraId="1802ADE1" w14:textId="77777777" w:rsidR="00FE7A71" w:rsidRPr="0021662B" w:rsidRDefault="00FE7A71" w:rsidP="00AF0AF5">
            <w:pPr>
              <w:widowControl/>
              <w:spacing w:line="360" w:lineRule="auto"/>
              <w:jc w:val="center"/>
              <w:rPr>
                <w:rFonts w:ascii="Times New Roman" w:eastAsia="宋体" w:hAnsi="Times New Roman" w:cs="Times New Roman"/>
                <w:color w:val="000000"/>
                <w:kern w:val="0"/>
                <w:szCs w:val="21"/>
              </w:rPr>
            </w:pPr>
            <w:r w:rsidRPr="0021662B">
              <w:rPr>
                <w:rFonts w:ascii="Times New Roman" w:eastAsia="宋体" w:hAnsi="Times New Roman" w:cs="Times New Roman"/>
                <w:color w:val="000000"/>
                <w:kern w:val="0"/>
                <w:szCs w:val="21"/>
              </w:rPr>
              <w:t>286167.85</w:t>
            </w:r>
          </w:p>
        </w:tc>
      </w:tr>
    </w:tbl>
    <w:p w14:paraId="4592A48F" w14:textId="77777777" w:rsidR="00FE7A71" w:rsidRDefault="00FE7A71" w:rsidP="00AF0AF5">
      <w:pPr>
        <w:spacing w:line="360" w:lineRule="auto"/>
        <w:ind w:firstLineChars="200" w:firstLine="420"/>
        <w:rPr>
          <w:rFonts w:ascii="Times New Roman" w:eastAsia="宋体" w:hAnsi="Times New Roman" w:cs="Times New Roman"/>
          <w:szCs w:val="21"/>
        </w:rPr>
      </w:pPr>
      <w:r w:rsidRPr="006827AD">
        <w:rPr>
          <w:rFonts w:ascii="Times New Roman" w:eastAsia="宋体" w:hAnsi="Times New Roman" w:cs="Times New Roman"/>
          <w:szCs w:val="21"/>
        </w:rPr>
        <w:t>资料来源：中国国家外汇管理局、美国经济分析局。</w:t>
      </w:r>
    </w:p>
    <w:p w14:paraId="542F3712" w14:textId="77777777" w:rsidR="00EB5A39" w:rsidRPr="006827AD" w:rsidRDefault="00EB5A39" w:rsidP="00AF0AF5">
      <w:pPr>
        <w:spacing w:line="360" w:lineRule="auto"/>
        <w:ind w:firstLineChars="200" w:firstLine="420"/>
        <w:rPr>
          <w:rFonts w:ascii="Times New Roman" w:eastAsia="宋体" w:hAnsi="Times New Roman" w:cs="Times New Roman"/>
          <w:szCs w:val="21"/>
        </w:rPr>
      </w:pPr>
    </w:p>
    <w:p w14:paraId="000FB772" w14:textId="11991BC3" w:rsidR="00821B07" w:rsidRPr="00821B07" w:rsidRDefault="00821B07"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sidRPr="00821B07">
        <w:rPr>
          <w:rFonts w:ascii="Times New Roman" w:eastAsia="宋体" w:hAnsi="Times New Roman" w:cs="Times New Roman" w:hint="eastAsia"/>
          <w:sz w:val="24"/>
          <w:szCs w:val="24"/>
        </w:rPr>
        <w:t>作为全球两大经济体和金融体系，中美两国资产交互日益深化。中美之间国际投资的关联度较高，双方国际投资关联规模大，但呈现较显著的结构性</w:t>
      </w:r>
      <w:r w:rsidR="00860A99">
        <w:rPr>
          <w:rFonts w:ascii="Times New Roman" w:eastAsia="宋体" w:hAnsi="Times New Roman" w:cs="Times New Roman" w:hint="eastAsia"/>
          <w:sz w:val="24"/>
          <w:szCs w:val="24"/>
        </w:rPr>
        <w:t>特征</w:t>
      </w:r>
      <w:r w:rsidRPr="00821B07">
        <w:rPr>
          <w:rFonts w:ascii="Times New Roman" w:eastAsia="宋体" w:hAnsi="Times New Roman" w:cs="Times New Roman" w:hint="eastAsia"/>
          <w:sz w:val="24"/>
          <w:szCs w:val="24"/>
        </w:rPr>
        <w:t>。根据美国国会研究部门的数据，截</w:t>
      </w:r>
      <w:r w:rsidR="00EB5A39">
        <w:rPr>
          <w:rFonts w:ascii="Times New Roman" w:eastAsia="宋体" w:hAnsi="Times New Roman" w:cs="Times New Roman" w:hint="eastAsia"/>
          <w:sz w:val="24"/>
          <w:szCs w:val="24"/>
        </w:rPr>
        <w:t>至</w:t>
      </w:r>
      <w:r w:rsidRPr="00821B07">
        <w:rPr>
          <w:rFonts w:ascii="Times New Roman" w:eastAsia="宋体" w:hAnsi="Times New Roman" w:cs="Times New Roman" w:hint="eastAsia"/>
          <w:sz w:val="24"/>
          <w:szCs w:val="24"/>
        </w:rPr>
        <w:t>2024</w:t>
      </w:r>
      <w:r w:rsidRPr="00821B07">
        <w:rPr>
          <w:rFonts w:ascii="Times New Roman" w:eastAsia="宋体" w:hAnsi="Times New Roman" w:cs="Times New Roman" w:hint="eastAsia"/>
          <w:sz w:val="24"/>
          <w:szCs w:val="24"/>
        </w:rPr>
        <w:t>年</w:t>
      </w:r>
      <w:r w:rsidRPr="00821B07">
        <w:rPr>
          <w:rFonts w:ascii="Times New Roman" w:eastAsia="宋体" w:hAnsi="Times New Roman" w:cs="Times New Roman" w:hint="eastAsia"/>
          <w:sz w:val="24"/>
          <w:szCs w:val="24"/>
        </w:rPr>
        <w:t>9</w:t>
      </w:r>
      <w:r w:rsidRPr="00821B07">
        <w:rPr>
          <w:rFonts w:ascii="Times New Roman" w:eastAsia="宋体" w:hAnsi="Times New Roman" w:cs="Times New Roman" w:hint="eastAsia"/>
          <w:sz w:val="24"/>
          <w:szCs w:val="24"/>
        </w:rPr>
        <w:t>月，美国投资者总共持有中国（包括香港地区）证券为</w:t>
      </w:r>
      <w:r w:rsidRPr="00821B07">
        <w:rPr>
          <w:rFonts w:ascii="Times New Roman" w:eastAsia="宋体" w:hAnsi="Times New Roman" w:cs="Times New Roman" w:hint="eastAsia"/>
          <w:sz w:val="24"/>
          <w:szCs w:val="24"/>
        </w:rPr>
        <w:t>3610</w:t>
      </w:r>
      <w:r w:rsidRPr="00821B07">
        <w:rPr>
          <w:rFonts w:ascii="Times New Roman" w:eastAsia="宋体" w:hAnsi="Times New Roman" w:cs="Times New Roman" w:hint="eastAsia"/>
          <w:sz w:val="24"/>
          <w:szCs w:val="24"/>
        </w:rPr>
        <w:t>亿美元，而中国（包括香港地区）共持有美国</w:t>
      </w:r>
      <w:r w:rsidRPr="00821B07">
        <w:rPr>
          <w:rFonts w:ascii="Times New Roman" w:eastAsia="宋体" w:hAnsi="Times New Roman" w:cs="Times New Roman" w:hint="eastAsia"/>
          <w:sz w:val="24"/>
          <w:szCs w:val="24"/>
        </w:rPr>
        <w:t>1.8</w:t>
      </w:r>
      <w:proofErr w:type="gramStart"/>
      <w:r w:rsidRPr="00821B07">
        <w:rPr>
          <w:rFonts w:ascii="Times New Roman" w:eastAsia="宋体" w:hAnsi="Times New Roman" w:cs="Times New Roman" w:hint="eastAsia"/>
          <w:sz w:val="24"/>
          <w:szCs w:val="24"/>
        </w:rPr>
        <w:t>万亿</w:t>
      </w:r>
      <w:proofErr w:type="gramEnd"/>
      <w:r w:rsidRPr="00821B07">
        <w:rPr>
          <w:rFonts w:ascii="Times New Roman" w:eastAsia="宋体" w:hAnsi="Times New Roman" w:cs="Times New Roman" w:hint="eastAsia"/>
          <w:sz w:val="24"/>
          <w:szCs w:val="24"/>
        </w:rPr>
        <w:t>美元证券。</w:t>
      </w:r>
      <w:r w:rsidRPr="00821B07">
        <w:rPr>
          <w:rFonts w:ascii="Times New Roman" w:eastAsia="宋体" w:hAnsi="Times New Roman" w:cs="Times New Roman"/>
          <w:sz w:val="24"/>
          <w:szCs w:val="24"/>
          <w:vertAlign w:val="superscript"/>
        </w:rPr>
        <w:footnoteReference w:id="14"/>
      </w:r>
      <w:r w:rsidRPr="00821B07">
        <w:rPr>
          <w:rFonts w:ascii="Times New Roman" w:eastAsia="宋体" w:hAnsi="Times New Roman" w:cs="Times New Roman" w:hint="eastAsia"/>
          <w:sz w:val="24"/>
          <w:szCs w:val="24"/>
        </w:rPr>
        <w:t>从结构看，根据美国经济分析局的数据，截至</w:t>
      </w:r>
      <w:r w:rsidRPr="00821B07">
        <w:rPr>
          <w:rFonts w:ascii="Times New Roman" w:eastAsia="宋体" w:hAnsi="Times New Roman" w:cs="Times New Roman" w:hint="eastAsia"/>
          <w:sz w:val="24"/>
          <w:szCs w:val="24"/>
        </w:rPr>
        <w:t>2023</w:t>
      </w:r>
      <w:r w:rsidRPr="00821B07">
        <w:rPr>
          <w:rFonts w:ascii="Times New Roman" w:eastAsia="宋体" w:hAnsi="Times New Roman" w:cs="Times New Roman" w:hint="eastAsia"/>
          <w:sz w:val="24"/>
          <w:szCs w:val="24"/>
        </w:rPr>
        <w:t>年</w:t>
      </w:r>
      <w:r w:rsidRPr="00821B07">
        <w:rPr>
          <w:rFonts w:ascii="Times New Roman" w:eastAsia="宋体" w:hAnsi="Times New Roman" w:cs="Times New Roman" w:hint="eastAsia"/>
          <w:sz w:val="24"/>
          <w:szCs w:val="24"/>
        </w:rPr>
        <w:t>6</w:t>
      </w:r>
      <w:r w:rsidRPr="00821B07">
        <w:rPr>
          <w:rFonts w:ascii="Times New Roman" w:eastAsia="宋体" w:hAnsi="Times New Roman" w:cs="Times New Roman" w:hint="eastAsia"/>
          <w:sz w:val="24"/>
          <w:szCs w:val="24"/>
        </w:rPr>
        <w:t>月末，中国</w:t>
      </w:r>
      <w:r w:rsidR="00EB5A39">
        <w:rPr>
          <w:rFonts w:ascii="Times New Roman" w:eastAsia="宋体" w:hAnsi="Times New Roman" w:cs="Times New Roman" w:hint="eastAsia"/>
          <w:sz w:val="24"/>
          <w:szCs w:val="24"/>
        </w:rPr>
        <w:t>（</w:t>
      </w:r>
      <w:r w:rsidRPr="00821B07">
        <w:rPr>
          <w:rFonts w:ascii="Times New Roman" w:eastAsia="宋体" w:hAnsi="Times New Roman" w:cs="Times New Roman" w:hint="eastAsia"/>
          <w:sz w:val="24"/>
          <w:szCs w:val="24"/>
        </w:rPr>
        <w:t>包括香港地区</w:t>
      </w:r>
      <w:r w:rsidR="00EB5A39">
        <w:rPr>
          <w:rFonts w:ascii="Times New Roman" w:eastAsia="宋体" w:hAnsi="Times New Roman" w:cs="Times New Roman" w:hint="eastAsia"/>
          <w:sz w:val="24"/>
          <w:szCs w:val="24"/>
        </w:rPr>
        <w:t>）</w:t>
      </w:r>
      <w:r w:rsidRPr="00821B07">
        <w:rPr>
          <w:rFonts w:ascii="Times New Roman" w:eastAsia="宋体" w:hAnsi="Times New Roman" w:cs="Times New Roman" w:hint="eastAsia"/>
          <w:sz w:val="24"/>
          <w:szCs w:val="24"/>
        </w:rPr>
        <w:t>对美国</w:t>
      </w:r>
      <w:r w:rsidR="00A21E11">
        <w:rPr>
          <w:rFonts w:ascii="Times New Roman" w:eastAsia="宋体" w:hAnsi="Times New Roman" w:cs="Times New Roman" w:hint="eastAsia"/>
          <w:sz w:val="24"/>
          <w:szCs w:val="24"/>
        </w:rPr>
        <w:t>的</w:t>
      </w:r>
      <w:r w:rsidR="00EB5A39">
        <w:rPr>
          <w:rFonts w:ascii="Times New Roman" w:eastAsia="宋体" w:hAnsi="Times New Roman" w:cs="Times New Roman" w:hint="eastAsia"/>
          <w:sz w:val="24"/>
          <w:szCs w:val="24"/>
        </w:rPr>
        <w:t>外商</w:t>
      </w:r>
      <w:r w:rsidR="00EB5A39" w:rsidRPr="00821B07">
        <w:rPr>
          <w:rFonts w:ascii="Times New Roman" w:eastAsia="宋体" w:hAnsi="Times New Roman" w:cs="Times New Roman" w:hint="eastAsia"/>
          <w:sz w:val="24"/>
          <w:szCs w:val="24"/>
        </w:rPr>
        <w:t>直接投资</w:t>
      </w:r>
      <w:r w:rsidR="00EB5A39">
        <w:rPr>
          <w:rFonts w:ascii="Times New Roman" w:eastAsia="宋体" w:hAnsi="Times New Roman" w:cs="Times New Roman" w:hint="eastAsia"/>
          <w:sz w:val="24"/>
          <w:szCs w:val="24"/>
        </w:rPr>
        <w:t>（</w:t>
      </w:r>
      <w:r w:rsidR="00EB5A39">
        <w:rPr>
          <w:rFonts w:ascii="Times New Roman" w:eastAsia="宋体" w:hAnsi="Times New Roman" w:cs="Times New Roman" w:hint="eastAsia"/>
          <w:sz w:val="24"/>
          <w:szCs w:val="24"/>
        </w:rPr>
        <w:t>FDI</w:t>
      </w:r>
      <w:r w:rsidR="00EB5A39">
        <w:rPr>
          <w:rFonts w:ascii="Times New Roman" w:eastAsia="宋体" w:hAnsi="Times New Roman" w:cs="Times New Roman" w:hint="eastAsia"/>
          <w:sz w:val="24"/>
          <w:szCs w:val="24"/>
        </w:rPr>
        <w:t>）</w:t>
      </w:r>
      <w:r w:rsidRPr="00821B07">
        <w:rPr>
          <w:rFonts w:ascii="Times New Roman" w:eastAsia="宋体" w:hAnsi="Times New Roman" w:cs="Times New Roman" w:hint="eastAsia"/>
          <w:sz w:val="24"/>
          <w:szCs w:val="24"/>
        </w:rPr>
        <w:t>存量为</w:t>
      </w:r>
      <w:r w:rsidRPr="00821B07">
        <w:rPr>
          <w:rFonts w:ascii="Times New Roman" w:eastAsia="宋体" w:hAnsi="Times New Roman" w:cs="Times New Roman" w:hint="eastAsia"/>
          <w:sz w:val="24"/>
          <w:szCs w:val="24"/>
        </w:rPr>
        <w:t>460.97</w:t>
      </w:r>
      <w:r w:rsidRPr="00821B07">
        <w:rPr>
          <w:rFonts w:ascii="Times New Roman" w:eastAsia="宋体" w:hAnsi="Times New Roman" w:cs="Times New Roman" w:hint="eastAsia"/>
          <w:sz w:val="24"/>
          <w:szCs w:val="24"/>
        </w:rPr>
        <w:t>亿美元，同期美国对中国大陆的</w:t>
      </w:r>
      <w:r w:rsidRPr="00821B07">
        <w:rPr>
          <w:rFonts w:ascii="Times New Roman" w:eastAsia="宋体" w:hAnsi="Times New Roman" w:cs="Times New Roman" w:hint="eastAsia"/>
          <w:sz w:val="24"/>
          <w:szCs w:val="24"/>
        </w:rPr>
        <w:t>FDI</w:t>
      </w:r>
      <w:r w:rsidRPr="00821B07">
        <w:rPr>
          <w:rFonts w:ascii="Times New Roman" w:eastAsia="宋体" w:hAnsi="Times New Roman" w:cs="Times New Roman" w:hint="eastAsia"/>
          <w:sz w:val="24"/>
          <w:szCs w:val="24"/>
        </w:rPr>
        <w:t>规模</w:t>
      </w:r>
      <w:r w:rsidR="00860A99">
        <w:rPr>
          <w:rFonts w:ascii="Times New Roman" w:eastAsia="宋体" w:hAnsi="Times New Roman" w:cs="Times New Roman" w:hint="eastAsia"/>
          <w:sz w:val="24"/>
          <w:szCs w:val="24"/>
        </w:rPr>
        <w:t>高达</w:t>
      </w:r>
      <w:r w:rsidRPr="00821B07">
        <w:rPr>
          <w:rFonts w:ascii="Times New Roman" w:eastAsia="宋体" w:hAnsi="Times New Roman" w:cs="Times New Roman" w:hint="eastAsia"/>
          <w:sz w:val="24"/>
          <w:szCs w:val="24"/>
        </w:rPr>
        <w:t>1269.08</w:t>
      </w:r>
      <w:r w:rsidRPr="00821B07">
        <w:rPr>
          <w:rFonts w:ascii="Times New Roman" w:eastAsia="宋体" w:hAnsi="Times New Roman" w:cs="Times New Roman" w:hint="eastAsia"/>
          <w:sz w:val="24"/>
          <w:szCs w:val="24"/>
        </w:rPr>
        <w:t>亿美元（详见图</w:t>
      </w:r>
      <w:r w:rsidRPr="00821B07">
        <w:rPr>
          <w:rFonts w:ascii="Times New Roman" w:eastAsia="宋体" w:hAnsi="Times New Roman" w:cs="Times New Roman" w:hint="eastAsia"/>
          <w:sz w:val="24"/>
          <w:szCs w:val="24"/>
        </w:rPr>
        <w:t>9</w:t>
      </w:r>
      <w:r w:rsidRPr="00821B07">
        <w:rPr>
          <w:rFonts w:ascii="Times New Roman" w:eastAsia="宋体" w:hAnsi="Times New Roman" w:cs="Times New Roman" w:hint="eastAsia"/>
          <w:sz w:val="24"/>
          <w:szCs w:val="24"/>
        </w:rPr>
        <w:t>）。</w:t>
      </w:r>
      <w:r w:rsidRPr="00821B07">
        <w:rPr>
          <w:rFonts w:ascii="Times New Roman" w:eastAsia="宋体" w:hAnsi="Times New Roman" w:cs="Times New Roman"/>
          <w:sz w:val="24"/>
          <w:szCs w:val="24"/>
        </w:rPr>
        <w:t>中国</w:t>
      </w:r>
      <w:r w:rsidR="00EB5A39">
        <w:rPr>
          <w:rFonts w:ascii="Times New Roman" w:eastAsia="宋体" w:hAnsi="Times New Roman" w:cs="Times New Roman" w:hint="eastAsia"/>
          <w:sz w:val="24"/>
          <w:szCs w:val="24"/>
        </w:rPr>
        <w:t>内地</w:t>
      </w:r>
      <w:r w:rsidRPr="00821B07">
        <w:rPr>
          <w:rFonts w:ascii="Times New Roman" w:eastAsia="宋体" w:hAnsi="Times New Roman" w:cs="Times New Roman"/>
          <w:sz w:val="24"/>
          <w:szCs w:val="24"/>
        </w:rPr>
        <w:t>对美国的</w:t>
      </w:r>
      <w:r w:rsidR="00A21E11">
        <w:rPr>
          <w:rFonts w:ascii="Times New Roman" w:eastAsia="宋体" w:hAnsi="Times New Roman" w:cs="Times New Roman" w:hint="eastAsia"/>
          <w:sz w:val="24"/>
          <w:szCs w:val="24"/>
        </w:rPr>
        <w:t>FDI</w:t>
      </w:r>
      <w:r w:rsidRPr="00821B07">
        <w:rPr>
          <w:rFonts w:ascii="Times New Roman" w:eastAsia="宋体" w:hAnsi="Times New Roman" w:cs="Times New Roman" w:hint="eastAsia"/>
          <w:sz w:val="24"/>
          <w:szCs w:val="24"/>
        </w:rPr>
        <w:t>从</w:t>
      </w:r>
      <w:r w:rsidRPr="00821B07">
        <w:rPr>
          <w:rFonts w:ascii="Times New Roman" w:eastAsia="宋体" w:hAnsi="Times New Roman" w:cs="Times New Roman" w:hint="eastAsia"/>
          <w:sz w:val="24"/>
          <w:szCs w:val="24"/>
        </w:rPr>
        <w:t>2</w:t>
      </w:r>
      <w:r w:rsidRPr="00821B07">
        <w:rPr>
          <w:rFonts w:ascii="Times New Roman" w:eastAsia="宋体" w:hAnsi="Times New Roman" w:cs="Times New Roman"/>
          <w:sz w:val="24"/>
          <w:szCs w:val="24"/>
        </w:rPr>
        <w:t>021</w:t>
      </w:r>
      <w:r w:rsidRPr="00821B07">
        <w:rPr>
          <w:rFonts w:ascii="Times New Roman" w:eastAsia="宋体" w:hAnsi="Times New Roman" w:cs="Times New Roman" w:hint="eastAsia"/>
          <w:sz w:val="24"/>
          <w:szCs w:val="24"/>
        </w:rPr>
        <w:t>年开始</w:t>
      </w:r>
      <w:r w:rsidRPr="00821B07">
        <w:rPr>
          <w:rFonts w:ascii="Times New Roman" w:eastAsia="宋体" w:hAnsi="Times New Roman" w:cs="Times New Roman"/>
          <w:sz w:val="24"/>
          <w:szCs w:val="24"/>
        </w:rPr>
        <w:t>有所下降</w:t>
      </w:r>
      <w:r w:rsidR="00A21E11">
        <w:rPr>
          <w:rFonts w:ascii="Times New Roman" w:eastAsia="宋体" w:hAnsi="Times New Roman" w:cs="Times New Roman" w:hint="eastAsia"/>
          <w:sz w:val="24"/>
          <w:szCs w:val="24"/>
        </w:rPr>
        <w:t>，但香港地区对美国的</w:t>
      </w:r>
      <w:r w:rsidR="00A21E11">
        <w:rPr>
          <w:rFonts w:ascii="Times New Roman" w:eastAsia="宋体" w:hAnsi="Times New Roman" w:cs="Times New Roman" w:hint="eastAsia"/>
          <w:sz w:val="24"/>
          <w:szCs w:val="24"/>
        </w:rPr>
        <w:t>FDI</w:t>
      </w:r>
      <w:r w:rsidR="00A21E11">
        <w:rPr>
          <w:rFonts w:ascii="Times New Roman" w:eastAsia="宋体" w:hAnsi="Times New Roman" w:cs="Times New Roman" w:hint="eastAsia"/>
          <w:sz w:val="24"/>
          <w:szCs w:val="24"/>
        </w:rPr>
        <w:t>稳健增长</w:t>
      </w:r>
      <w:r w:rsidRPr="00821B07">
        <w:rPr>
          <w:rFonts w:ascii="Times New Roman" w:eastAsia="宋体" w:hAnsi="Times New Roman" w:cs="Times New Roman" w:hint="eastAsia"/>
          <w:sz w:val="24"/>
          <w:szCs w:val="24"/>
        </w:rPr>
        <w:t>。中国商务部数据与美国经济分析局数据存在较大的差异，</w:t>
      </w:r>
      <w:r w:rsidR="00EB5A39">
        <w:rPr>
          <w:rFonts w:ascii="Times New Roman" w:eastAsia="宋体" w:hAnsi="Times New Roman" w:cs="Times New Roman" w:hint="eastAsia"/>
          <w:sz w:val="24"/>
          <w:szCs w:val="24"/>
        </w:rPr>
        <w:t>其中</w:t>
      </w:r>
      <w:r w:rsidRPr="00821B07">
        <w:rPr>
          <w:rFonts w:ascii="Times New Roman" w:eastAsia="宋体" w:hAnsi="Times New Roman" w:cs="Times New Roman" w:hint="eastAsia"/>
          <w:sz w:val="24"/>
          <w:szCs w:val="24"/>
        </w:rPr>
        <w:t>2023</w:t>
      </w:r>
      <w:r w:rsidRPr="00821B07">
        <w:rPr>
          <w:rFonts w:ascii="Times New Roman" w:eastAsia="宋体" w:hAnsi="Times New Roman" w:cs="Times New Roman" w:hint="eastAsia"/>
          <w:sz w:val="24"/>
          <w:szCs w:val="24"/>
        </w:rPr>
        <w:t>年末中国对美国</w:t>
      </w:r>
      <w:r w:rsidR="00A21E11">
        <w:rPr>
          <w:rFonts w:ascii="Times New Roman" w:eastAsia="宋体" w:hAnsi="Times New Roman" w:cs="Times New Roman" w:hint="eastAsia"/>
          <w:sz w:val="24"/>
          <w:szCs w:val="24"/>
        </w:rPr>
        <w:t>FDI</w:t>
      </w:r>
      <w:r w:rsidRPr="00821B07">
        <w:rPr>
          <w:rFonts w:ascii="Times New Roman" w:eastAsia="宋体" w:hAnsi="Times New Roman" w:cs="Times New Roman" w:hint="eastAsia"/>
          <w:sz w:val="24"/>
          <w:szCs w:val="24"/>
        </w:rPr>
        <w:t>存量为</w:t>
      </w:r>
      <w:r w:rsidRPr="00821B07">
        <w:rPr>
          <w:rFonts w:ascii="Times New Roman" w:eastAsia="宋体" w:hAnsi="Times New Roman" w:cs="Times New Roman" w:hint="eastAsia"/>
          <w:sz w:val="24"/>
          <w:szCs w:val="24"/>
        </w:rPr>
        <w:t>863.94</w:t>
      </w:r>
      <w:r w:rsidRPr="00821B07">
        <w:rPr>
          <w:rFonts w:ascii="Times New Roman" w:eastAsia="宋体" w:hAnsi="Times New Roman" w:cs="Times New Roman" w:hint="eastAsia"/>
          <w:sz w:val="24"/>
          <w:szCs w:val="24"/>
        </w:rPr>
        <w:t>亿美元</w:t>
      </w:r>
      <w:r w:rsidRPr="00821B07">
        <w:rPr>
          <w:sz w:val="24"/>
          <w:szCs w:val="24"/>
          <w:vertAlign w:val="superscript"/>
        </w:rPr>
        <w:footnoteReference w:id="15"/>
      </w:r>
      <w:r w:rsidRPr="00821B07">
        <w:rPr>
          <w:rFonts w:ascii="Times New Roman" w:eastAsia="宋体" w:hAnsi="Times New Roman" w:cs="Times New Roman" w:hint="eastAsia"/>
          <w:sz w:val="24"/>
          <w:szCs w:val="24"/>
        </w:rPr>
        <w:t>。就证券投资而言，截至</w:t>
      </w:r>
      <w:r w:rsidRPr="00821B07">
        <w:rPr>
          <w:rFonts w:ascii="Times New Roman" w:eastAsia="宋体" w:hAnsi="Times New Roman" w:cs="Times New Roman" w:hint="eastAsia"/>
          <w:sz w:val="24"/>
          <w:szCs w:val="24"/>
        </w:rPr>
        <w:t>2023</w:t>
      </w:r>
      <w:r w:rsidRPr="00821B07">
        <w:rPr>
          <w:rFonts w:ascii="Times New Roman" w:eastAsia="宋体" w:hAnsi="Times New Roman" w:cs="Times New Roman" w:hint="eastAsia"/>
          <w:sz w:val="24"/>
          <w:szCs w:val="24"/>
        </w:rPr>
        <w:t>年</w:t>
      </w:r>
      <w:r w:rsidRPr="00821B07">
        <w:rPr>
          <w:rFonts w:ascii="Times New Roman" w:eastAsia="宋体" w:hAnsi="Times New Roman" w:cs="Times New Roman" w:hint="eastAsia"/>
          <w:sz w:val="24"/>
          <w:szCs w:val="24"/>
        </w:rPr>
        <w:t>6</w:t>
      </w:r>
      <w:r w:rsidR="00860A99">
        <w:rPr>
          <w:rFonts w:ascii="Times New Roman" w:eastAsia="宋体" w:hAnsi="Times New Roman" w:cs="Times New Roman" w:hint="eastAsia"/>
          <w:sz w:val="24"/>
          <w:szCs w:val="24"/>
        </w:rPr>
        <w:t>月末，中国持有美国证券高</w:t>
      </w:r>
      <w:r w:rsidRPr="00821B07">
        <w:rPr>
          <w:rFonts w:ascii="Times New Roman" w:eastAsia="宋体" w:hAnsi="Times New Roman" w:cs="Times New Roman" w:hint="eastAsia"/>
          <w:sz w:val="24"/>
          <w:szCs w:val="24"/>
        </w:rPr>
        <w:t>达</w:t>
      </w:r>
      <w:r w:rsidRPr="00821B07">
        <w:rPr>
          <w:rFonts w:ascii="Times New Roman" w:eastAsia="宋体" w:hAnsi="Times New Roman" w:cs="Times New Roman" w:hint="eastAsia"/>
          <w:sz w:val="24"/>
          <w:szCs w:val="24"/>
        </w:rPr>
        <w:t>1.6</w:t>
      </w:r>
      <w:proofErr w:type="gramStart"/>
      <w:r w:rsidRPr="00821B07">
        <w:rPr>
          <w:rFonts w:ascii="Times New Roman" w:eastAsia="宋体" w:hAnsi="Times New Roman" w:cs="Times New Roman" w:hint="eastAsia"/>
          <w:sz w:val="24"/>
          <w:szCs w:val="24"/>
        </w:rPr>
        <w:t>万亿</w:t>
      </w:r>
      <w:proofErr w:type="gramEnd"/>
      <w:r w:rsidRPr="00821B07">
        <w:rPr>
          <w:rFonts w:ascii="Times New Roman" w:eastAsia="宋体" w:hAnsi="Times New Roman" w:cs="Times New Roman" w:hint="eastAsia"/>
          <w:sz w:val="24"/>
          <w:szCs w:val="24"/>
        </w:rPr>
        <w:t>美元，</w:t>
      </w:r>
      <w:r w:rsidR="00860A99">
        <w:rPr>
          <w:rFonts w:ascii="Times New Roman" w:eastAsia="宋体" w:hAnsi="Times New Roman" w:cs="Times New Roman" w:hint="eastAsia"/>
          <w:sz w:val="24"/>
          <w:szCs w:val="24"/>
        </w:rPr>
        <w:t>而</w:t>
      </w:r>
      <w:r w:rsidRPr="00821B07">
        <w:rPr>
          <w:rFonts w:ascii="Times New Roman" w:eastAsia="宋体" w:hAnsi="Times New Roman" w:cs="Times New Roman" w:hint="eastAsia"/>
          <w:sz w:val="24"/>
          <w:szCs w:val="24"/>
        </w:rPr>
        <w:t>美国对中国的证券投资相对较少，同期美国持有中国（含香港地区）证券为</w:t>
      </w:r>
      <w:r w:rsidRPr="00821B07">
        <w:rPr>
          <w:rFonts w:ascii="Times New Roman" w:eastAsia="宋体" w:hAnsi="Times New Roman" w:cs="Times New Roman" w:hint="eastAsia"/>
          <w:sz w:val="24"/>
          <w:szCs w:val="24"/>
        </w:rPr>
        <w:t>3204</w:t>
      </w:r>
      <w:r w:rsidRPr="00821B07">
        <w:rPr>
          <w:rFonts w:ascii="Times New Roman" w:eastAsia="宋体" w:hAnsi="Times New Roman" w:cs="Times New Roman" w:hint="eastAsia"/>
          <w:sz w:val="24"/>
          <w:szCs w:val="24"/>
        </w:rPr>
        <w:t>亿美元（见图</w:t>
      </w:r>
      <w:r w:rsidRPr="00821B07">
        <w:rPr>
          <w:rFonts w:ascii="Times New Roman" w:eastAsia="宋体" w:hAnsi="Times New Roman" w:cs="Times New Roman" w:hint="eastAsia"/>
          <w:sz w:val="24"/>
          <w:szCs w:val="24"/>
        </w:rPr>
        <w:t>10</w:t>
      </w:r>
      <w:r w:rsidRPr="00821B07">
        <w:rPr>
          <w:rFonts w:ascii="Times New Roman" w:eastAsia="宋体" w:hAnsi="Times New Roman" w:cs="Times New Roman" w:hint="eastAsia"/>
          <w:sz w:val="24"/>
          <w:szCs w:val="24"/>
        </w:rPr>
        <w:t>）。据美国国会和美国数据分析局数据，</w:t>
      </w:r>
      <w:r w:rsidRPr="00821B07">
        <w:rPr>
          <w:rFonts w:ascii="Times New Roman" w:eastAsia="宋体" w:hAnsi="Times New Roman" w:cs="Times New Roman" w:hint="eastAsia"/>
          <w:sz w:val="24"/>
          <w:szCs w:val="24"/>
        </w:rPr>
        <w:t>2023</w:t>
      </w:r>
      <w:r w:rsidRPr="00821B07">
        <w:rPr>
          <w:rFonts w:ascii="Times New Roman" w:eastAsia="宋体" w:hAnsi="Times New Roman" w:cs="Times New Roman" w:hint="eastAsia"/>
          <w:sz w:val="24"/>
          <w:szCs w:val="24"/>
        </w:rPr>
        <w:t>年</w:t>
      </w:r>
      <w:r w:rsidRPr="00821B07">
        <w:rPr>
          <w:rFonts w:ascii="Times New Roman" w:eastAsia="宋体" w:hAnsi="Times New Roman" w:cs="Times New Roman" w:hint="eastAsia"/>
          <w:sz w:val="24"/>
          <w:szCs w:val="24"/>
        </w:rPr>
        <w:t>6</w:t>
      </w:r>
      <w:r w:rsidRPr="00821B07">
        <w:rPr>
          <w:rFonts w:ascii="Times New Roman" w:eastAsia="宋体" w:hAnsi="Times New Roman" w:cs="Times New Roman" w:hint="eastAsia"/>
          <w:sz w:val="24"/>
          <w:szCs w:val="24"/>
        </w:rPr>
        <w:t>月末至</w:t>
      </w:r>
      <w:r w:rsidRPr="00821B07">
        <w:rPr>
          <w:rFonts w:ascii="Times New Roman" w:eastAsia="宋体" w:hAnsi="Times New Roman" w:cs="Times New Roman" w:hint="eastAsia"/>
          <w:sz w:val="24"/>
          <w:szCs w:val="24"/>
        </w:rPr>
        <w:t>2024</w:t>
      </w:r>
      <w:r w:rsidRPr="00821B07">
        <w:rPr>
          <w:rFonts w:ascii="Times New Roman" w:eastAsia="宋体" w:hAnsi="Times New Roman" w:cs="Times New Roman" w:hint="eastAsia"/>
          <w:sz w:val="24"/>
          <w:szCs w:val="24"/>
        </w:rPr>
        <w:t>年</w:t>
      </w:r>
      <w:r w:rsidRPr="00821B07">
        <w:rPr>
          <w:rFonts w:ascii="Times New Roman" w:eastAsia="宋体" w:hAnsi="Times New Roman" w:cs="Times New Roman" w:hint="eastAsia"/>
          <w:sz w:val="24"/>
          <w:szCs w:val="24"/>
        </w:rPr>
        <w:t>9</w:t>
      </w:r>
      <w:r w:rsidRPr="00821B07">
        <w:rPr>
          <w:rFonts w:ascii="Times New Roman" w:eastAsia="宋体" w:hAnsi="Times New Roman" w:cs="Times New Roman" w:hint="eastAsia"/>
          <w:sz w:val="24"/>
          <w:szCs w:val="24"/>
        </w:rPr>
        <w:t>月末，中美双方</w:t>
      </w:r>
      <w:proofErr w:type="gramStart"/>
      <w:r w:rsidRPr="00821B07">
        <w:rPr>
          <w:rFonts w:ascii="Times New Roman" w:eastAsia="宋体" w:hAnsi="Times New Roman" w:cs="Times New Roman" w:hint="eastAsia"/>
          <w:sz w:val="24"/>
          <w:szCs w:val="24"/>
        </w:rPr>
        <w:t>互持证券</w:t>
      </w:r>
      <w:proofErr w:type="gramEnd"/>
      <w:r w:rsidRPr="00821B07">
        <w:rPr>
          <w:rFonts w:ascii="Times New Roman" w:eastAsia="宋体" w:hAnsi="Times New Roman" w:cs="Times New Roman" w:hint="eastAsia"/>
          <w:sz w:val="24"/>
          <w:szCs w:val="24"/>
        </w:rPr>
        <w:t>资产的规模均有增加，美国增持中国（包括香港地区）证券资产约</w:t>
      </w:r>
      <w:r w:rsidRPr="00821B07">
        <w:rPr>
          <w:rFonts w:ascii="Times New Roman" w:eastAsia="宋体" w:hAnsi="Times New Roman" w:cs="Times New Roman" w:hint="eastAsia"/>
          <w:sz w:val="24"/>
          <w:szCs w:val="24"/>
        </w:rPr>
        <w:t>400</w:t>
      </w:r>
      <w:r w:rsidRPr="00821B07">
        <w:rPr>
          <w:rFonts w:ascii="Times New Roman" w:eastAsia="宋体" w:hAnsi="Times New Roman" w:cs="Times New Roman" w:hint="eastAsia"/>
          <w:sz w:val="24"/>
          <w:szCs w:val="24"/>
        </w:rPr>
        <w:t>亿美元，中国（包括香港地区）增持美国资产约</w:t>
      </w:r>
      <w:r w:rsidRPr="00821B07">
        <w:rPr>
          <w:rFonts w:ascii="Times New Roman" w:eastAsia="宋体" w:hAnsi="Times New Roman" w:cs="Times New Roman" w:hint="eastAsia"/>
          <w:sz w:val="24"/>
          <w:szCs w:val="24"/>
        </w:rPr>
        <w:t>2000</w:t>
      </w:r>
      <w:r w:rsidRPr="00821B07">
        <w:rPr>
          <w:rFonts w:ascii="Times New Roman" w:eastAsia="宋体" w:hAnsi="Times New Roman" w:cs="Times New Roman" w:hint="eastAsia"/>
          <w:sz w:val="24"/>
          <w:szCs w:val="24"/>
        </w:rPr>
        <w:t>亿美元。</w:t>
      </w:r>
    </w:p>
    <w:p w14:paraId="4F170301" w14:textId="77777777" w:rsidR="00821B07" w:rsidRPr="00821B07" w:rsidRDefault="00821B07"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p>
    <w:p w14:paraId="4AE15741" w14:textId="1D59E55B" w:rsidR="00FE7A71" w:rsidRDefault="00821B07" w:rsidP="00AF0AF5">
      <w:pPr>
        <w:adjustRightInd w:val="0"/>
        <w:snapToGrid w:val="0"/>
        <w:spacing w:before="100" w:beforeAutospacing="1" w:after="100" w:afterAutospacing="1" w:line="360" w:lineRule="auto"/>
        <w:ind w:firstLineChars="50" w:firstLine="105"/>
        <w:rPr>
          <w:rFonts w:ascii="Times New Roman" w:eastAsia="仿宋" w:hAnsi="Times New Roman" w:cs="Times New Roman"/>
        </w:rPr>
      </w:pPr>
      <w:r w:rsidRPr="004F20E5">
        <w:rPr>
          <w:noProof/>
          <w:highlight w:val="yellow"/>
        </w:rPr>
        <w:lastRenderedPageBreak/>
        <w:drawing>
          <wp:inline distT="0" distB="0" distL="0" distR="0" wp14:anchorId="01B43596" wp14:editId="0E8C7B5E">
            <wp:extent cx="2513125" cy="2229956"/>
            <wp:effectExtent l="0" t="0" r="20955" b="1841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ascii="Times New Roman" w:eastAsia="仿宋" w:hAnsi="Times New Roman" w:cs="Times New Roman" w:hint="eastAsia"/>
        </w:rPr>
        <w:t xml:space="preserve"> </w:t>
      </w:r>
      <w:r w:rsidR="00FE7A71">
        <w:rPr>
          <w:noProof/>
        </w:rPr>
        <w:drawing>
          <wp:inline distT="0" distB="0" distL="0" distR="0" wp14:anchorId="4EBD869F" wp14:editId="6AA768E0">
            <wp:extent cx="2487386" cy="2226129"/>
            <wp:effectExtent l="0" t="0" r="27305" b="22225"/>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1DD3D04" w14:textId="48A3BBDB" w:rsidR="00FE7A71" w:rsidRPr="00FA71CC" w:rsidRDefault="00FE7A71" w:rsidP="00AF0AF5">
      <w:pPr>
        <w:adjustRightInd w:val="0"/>
        <w:snapToGrid w:val="0"/>
        <w:spacing w:before="100" w:beforeAutospacing="1" w:after="100" w:afterAutospacing="1" w:line="360" w:lineRule="auto"/>
        <w:ind w:firstLineChars="100" w:firstLine="240"/>
        <w:contextualSpacing/>
        <w:rPr>
          <w:rFonts w:ascii="Times New Roman" w:eastAsia="宋体" w:hAnsi="Times New Roman" w:cs="Times New Roman"/>
          <w:sz w:val="24"/>
          <w:szCs w:val="24"/>
        </w:rPr>
      </w:pPr>
      <w:r w:rsidRPr="00FA71CC">
        <w:rPr>
          <w:rFonts w:ascii="Times New Roman" w:eastAsia="宋体" w:hAnsi="Times New Roman" w:cs="Times New Roman"/>
          <w:sz w:val="24"/>
          <w:szCs w:val="24"/>
        </w:rPr>
        <w:t>图</w:t>
      </w:r>
      <w:r w:rsidR="00604C59" w:rsidRPr="00FA71CC">
        <w:rPr>
          <w:rFonts w:ascii="Times New Roman" w:eastAsia="宋体" w:hAnsi="Times New Roman" w:cs="Times New Roman" w:hint="eastAsia"/>
          <w:sz w:val="24"/>
          <w:szCs w:val="24"/>
        </w:rPr>
        <w:t>9</w:t>
      </w:r>
      <w:r w:rsidRPr="00FA71CC">
        <w:rPr>
          <w:rFonts w:ascii="Times New Roman" w:eastAsia="宋体" w:hAnsi="Times New Roman" w:cs="Times New Roman"/>
          <w:sz w:val="24"/>
          <w:szCs w:val="24"/>
        </w:rPr>
        <w:t xml:space="preserve"> </w:t>
      </w:r>
      <w:r w:rsidRPr="00FA71CC">
        <w:rPr>
          <w:rFonts w:ascii="Times New Roman" w:eastAsia="宋体" w:hAnsi="Times New Roman" w:cs="Times New Roman"/>
          <w:sz w:val="24"/>
          <w:szCs w:val="24"/>
        </w:rPr>
        <w:t>中美</w:t>
      </w:r>
      <w:r w:rsidRPr="00FA71CC">
        <w:rPr>
          <w:rFonts w:ascii="Times New Roman" w:eastAsia="宋体" w:hAnsi="Times New Roman" w:cs="Times New Roman" w:hint="eastAsia"/>
          <w:sz w:val="24"/>
          <w:szCs w:val="24"/>
        </w:rPr>
        <w:t>之间</w:t>
      </w:r>
      <w:r w:rsidR="00604C59" w:rsidRPr="00FA71CC">
        <w:rPr>
          <w:rFonts w:ascii="Times New Roman" w:eastAsia="宋体" w:hAnsi="Times New Roman" w:cs="Times New Roman" w:hint="eastAsia"/>
          <w:sz w:val="24"/>
          <w:szCs w:val="24"/>
        </w:rPr>
        <w:t>直接投资</w:t>
      </w:r>
      <w:proofErr w:type="gramStart"/>
      <w:r w:rsidRPr="00FA71CC">
        <w:rPr>
          <w:rFonts w:ascii="Times New Roman" w:eastAsia="宋体" w:hAnsi="Times New Roman" w:cs="Times New Roman" w:hint="eastAsia"/>
          <w:sz w:val="24"/>
          <w:szCs w:val="24"/>
        </w:rPr>
        <w:t>互持情况</w:t>
      </w:r>
      <w:proofErr w:type="gramEnd"/>
      <w:r w:rsidR="00604C59" w:rsidRPr="00FA71CC">
        <w:rPr>
          <w:rFonts w:ascii="Times New Roman" w:eastAsia="宋体" w:hAnsi="Times New Roman" w:cs="Times New Roman" w:hint="eastAsia"/>
          <w:sz w:val="24"/>
          <w:szCs w:val="24"/>
        </w:rPr>
        <w:t xml:space="preserve">  </w:t>
      </w:r>
      <w:r w:rsidR="00FA71CC">
        <w:rPr>
          <w:rFonts w:ascii="Times New Roman" w:eastAsia="宋体" w:hAnsi="Times New Roman" w:cs="Times New Roman"/>
          <w:sz w:val="24"/>
          <w:szCs w:val="24"/>
        </w:rPr>
        <w:t xml:space="preserve">  </w:t>
      </w:r>
      <w:r w:rsidR="00604C59" w:rsidRPr="00FA71CC">
        <w:rPr>
          <w:rFonts w:ascii="Times New Roman" w:eastAsia="宋体" w:hAnsi="Times New Roman" w:cs="Times New Roman"/>
          <w:sz w:val="24"/>
          <w:szCs w:val="24"/>
        </w:rPr>
        <w:t>图</w:t>
      </w:r>
      <w:r w:rsidR="00604C59" w:rsidRPr="00FA71CC">
        <w:rPr>
          <w:rFonts w:ascii="Times New Roman" w:eastAsia="宋体" w:hAnsi="Times New Roman" w:cs="Times New Roman" w:hint="eastAsia"/>
          <w:sz w:val="24"/>
          <w:szCs w:val="24"/>
        </w:rPr>
        <w:t>10</w:t>
      </w:r>
      <w:r w:rsidR="00604C59" w:rsidRPr="00FA71CC">
        <w:rPr>
          <w:rFonts w:ascii="Times New Roman" w:eastAsia="宋体" w:hAnsi="Times New Roman" w:cs="Times New Roman"/>
          <w:sz w:val="24"/>
          <w:szCs w:val="24"/>
        </w:rPr>
        <w:t xml:space="preserve"> </w:t>
      </w:r>
      <w:r w:rsidR="00604C59" w:rsidRPr="00FA71CC">
        <w:rPr>
          <w:rFonts w:ascii="Times New Roman" w:eastAsia="宋体" w:hAnsi="Times New Roman" w:cs="Times New Roman"/>
          <w:sz w:val="24"/>
          <w:szCs w:val="24"/>
        </w:rPr>
        <w:t>中美</w:t>
      </w:r>
      <w:r w:rsidR="00604C59" w:rsidRPr="00FA71CC">
        <w:rPr>
          <w:rFonts w:ascii="Times New Roman" w:eastAsia="宋体" w:hAnsi="Times New Roman" w:cs="Times New Roman" w:hint="eastAsia"/>
          <w:sz w:val="24"/>
          <w:szCs w:val="24"/>
        </w:rPr>
        <w:t>之间</w:t>
      </w:r>
      <w:proofErr w:type="gramStart"/>
      <w:r w:rsidR="00604C59" w:rsidRPr="00FA71CC">
        <w:rPr>
          <w:rFonts w:ascii="Times New Roman" w:eastAsia="宋体" w:hAnsi="Times New Roman" w:cs="Times New Roman" w:hint="eastAsia"/>
          <w:sz w:val="24"/>
          <w:szCs w:val="24"/>
        </w:rPr>
        <w:t>证券投资互持情况</w:t>
      </w:r>
      <w:proofErr w:type="gramEnd"/>
    </w:p>
    <w:p w14:paraId="5F7AAB93" w14:textId="77777777" w:rsidR="00FE7A71" w:rsidRPr="00AE5F48" w:rsidRDefault="00FE7A71" w:rsidP="00AF0AF5">
      <w:pPr>
        <w:adjustRightInd w:val="0"/>
        <w:snapToGrid w:val="0"/>
        <w:spacing w:before="100" w:beforeAutospacing="1" w:after="100" w:afterAutospacing="1" w:line="360" w:lineRule="auto"/>
        <w:ind w:firstLineChars="200" w:firstLine="420"/>
        <w:contextualSpacing/>
        <w:rPr>
          <w:rFonts w:ascii="Times New Roman" w:eastAsia="宋体" w:hAnsi="Times New Roman" w:cs="Times New Roman"/>
          <w:szCs w:val="21"/>
        </w:rPr>
      </w:pPr>
      <w:r w:rsidRPr="00AE5F48">
        <w:rPr>
          <w:rFonts w:ascii="Times New Roman" w:eastAsia="宋体" w:hAnsi="Times New Roman" w:cs="Times New Roman" w:hint="eastAsia"/>
          <w:szCs w:val="21"/>
        </w:rPr>
        <w:t>数据来源：美国经济分析局。</w:t>
      </w:r>
    </w:p>
    <w:p w14:paraId="0015208A" w14:textId="48C36E51" w:rsidR="00FE7A71" w:rsidRPr="000478CB" w:rsidRDefault="00604C59"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sidRPr="000478CB">
        <w:rPr>
          <w:rFonts w:ascii="Times New Roman" w:eastAsia="宋体" w:hAnsi="Times New Roman" w:cs="Times New Roman" w:hint="eastAsia"/>
          <w:sz w:val="24"/>
          <w:szCs w:val="24"/>
        </w:rPr>
        <w:t>从资产交互</w:t>
      </w:r>
      <w:r w:rsidR="00FE7A71" w:rsidRPr="000478CB">
        <w:rPr>
          <w:rFonts w:ascii="Times New Roman" w:eastAsia="宋体" w:hAnsi="Times New Roman" w:cs="Times New Roman" w:hint="eastAsia"/>
          <w:sz w:val="24"/>
          <w:szCs w:val="24"/>
        </w:rPr>
        <w:t>结构性特征看，中美两国</w:t>
      </w:r>
      <w:r w:rsidRPr="000478CB">
        <w:rPr>
          <w:rFonts w:ascii="Times New Roman" w:eastAsia="宋体" w:hAnsi="Times New Roman" w:cs="Times New Roman" w:hint="eastAsia"/>
          <w:sz w:val="24"/>
          <w:szCs w:val="24"/>
        </w:rPr>
        <w:t>紧密</w:t>
      </w:r>
      <w:r w:rsidR="00FE7A71" w:rsidRPr="000478CB">
        <w:rPr>
          <w:rFonts w:ascii="Times New Roman" w:eastAsia="宋体" w:hAnsi="Times New Roman" w:cs="Times New Roman" w:hint="eastAsia"/>
          <w:sz w:val="24"/>
          <w:szCs w:val="24"/>
        </w:rPr>
        <w:t>交织纠缠，和</w:t>
      </w:r>
      <w:proofErr w:type="gramStart"/>
      <w:r w:rsidR="00FE7A71" w:rsidRPr="000478CB">
        <w:rPr>
          <w:rFonts w:ascii="Times New Roman" w:eastAsia="宋体" w:hAnsi="Times New Roman" w:cs="Times New Roman" w:hint="eastAsia"/>
          <w:sz w:val="24"/>
          <w:szCs w:val="24"/>
        </w:rPr>
        <w:t>则</w:t>
      </w:r>
      <w:proofErr w:type="gramEnd"/>
      <w:r w:rsidR="00FE7A71" w:rsidRPr="000478CB">
        <w:rPr>
          <w:rFonts w:ascii="Times New Roman" w:eastAsia="宋体" w:hAnsi="Times New Roman" w:cs="Times New Roman" w:hint="eastAsia"/>
          <w:sz w:val="24"/>
          <w:szCs w:val="24"/>
        </w:rPr>
        <w:t>两利，“斗”（强脱钩）则俱损。从</w:t>
      </w:r>
      <w:r w:rsidR="00A21E11">
        <w:rPr>
          <w:rFonts w:ascii="Times New Roman" w:eastAsia="宋体" w:hAnsi="Times New Roman" w:cs="Times New Roman" w:hint="eastAsia"/>
          <w:sz w:val="24"/>
          <w:szCs w:val="24"/>
        </w:rPr>
        <w:t>外商</w:t>
      </w:r>
      <w:r w:rsidR="00FE7A71" w:rsidRPr="000478CB">
        <w:rPr>
          <w:rFonts w:ascii="Times New Roman" w:eastAsia="宋体" w:hAnsi="Times New Roman" w:cs="Times New Roman" w:hint="eastAsia"/>
          <w:sz w:val="24"/>
          <w:szCs w:val="24"/>
        </w:rPr>
        <w:t>直接投资看，美国在华的直接投资利益</w:t>
      </w:r>
      <w:r w:rsidR="00860A99">
        <w:rPr>
          <w:rFonts w:ascii="Times New Roman" w:eastAsia="宋体" w:hAnsi="Times New Roman" w:cs="Times New Roman" w:hint="eastAsia"/>
          <w:sz w:val="24"/>
          <w:szCs w:val="24"/>
        </w:rPr>
        <w:t>较大</w:t>
      </w:r>
      <w:r w:rsidR="00FE7A71" w:rsidRPr="000478CB">
        <w:rPr>
          <w:rFonts w:ascii="Times New Roman" w:eastAsia="宋体" w:hAnsi="Times New Roman" w:cs="Times New Roman" w:hint="eastAsia"/>
          <w:sz w:val="24"/>
          <w:szCs w:val="24"/>
        </w:rPr>
        <w:t>，而中国在美的直接投资规模相对较小；</w:t>
      </w:r>
      <w:r w:rsidR="00860A99">
        <w:rPr>
          <w:rFonts w:ascii="Times New Roman" w:eastAsia="宋体" w:hAnsi="Times New Roman" w:cs="Times New Roman" w:hint="eastAsia"/>
          <w:sz w:val="24"/>
          <w:szCs w:val="24"/>
        </w:rPr>
        <w:t>美国在中国的证券投资规模相对较小，而中国在美国的证券投资规模</w:t>
      </w:r>
      <w:r w:rsidR="00FE7A71" w:rsidRPr="000478CB">
        <w:rPr>
          <w:rFonts w:ascii="Times New Roman" w:eastAsia="宋体" w:hAnsi="Times New Roman" w:cs="Times New Roman" w:hint="eastAsia"/>
          <w:sz w:val="24"/>
          <w:szCs w:val="24"/>
        </w:rPr>
        <w:t>巨大。</w:t>
      </w:r>
      <w:r w:rsidR="00CF2ACD" w:rsidRPr="000478CB">
        <w:rPr>
          <w:rFonts w:ascii="Times New Roman" w:eastAsia="宋体" w:hAnsi="Times New Roman" w:cs="Times New Roman" w:hint="eastAsia"/>
          <w:sz w:val="24"/>
          <w:szCs w:val="24"/>
        </w:rPr>
        <w:t>特朗普</w:t>
      </w:r>
      <w:r w:rsidR="00CF2ACD" w:rsidRPr="000478CB">
        <w:rPr>
          <w:rFonts w:ascii="Times New Roman" w:eastAsia="宋体" w:hAnsi="Times New Roman" w:cs="Times New Roman" w:hint="eastAsia"/>
          <w:sz w:val="24"/>
          <w:szCs w:val="24"/>
        </w:rPr>
        <w:t>1.0</w:t>
      </w:r>
      <w:r w:rsidR="00CF2ACD" w:rsidRPr="000478CB">
        <w:rPr>
          <w:rFonts w:ascii="Times New Roman" w:eastAsia="宋体" w:hAnsi="Times New Roman" w:cs="Times New Roman" w:hint="eastAsia"/>
          <w:sz w:val="24"/>
          <w:szCs w:val="24"/>
        </w:rPr>
        <w:t>时期开启的中美摩擦对美国在华投资带来负面影响，美国对华</w:t>
      </w:r>
      <w:r w:rsidR="00A21E11">
        <w:rPr>
          <w:rFonts w:ascii="Times New Roman" w:eastAsia="宋体" w:hAnsi="Times New Roman" w:cs="Times New Roman" w:hint="eastAsia"/>
          <w:sz w:val="24"/>
          <w:szCs w:val="24"/>
        </w:rPr>
        <w:t>直接</w:t>
      </w:r>
      <w:r w:rsidR="00CF2ACD" w:rsidRPr="000478CB">
        <w:rPr>
          <w:rFonts w:ascii="Times New Roman" w:eastAsia="宋体" w:hAnsi="Times New Roman" w:cs="Times New Roman" w:hint="eastAsia"/>
          <w:sz w:val="24"/>
          <w:szCs w:val="24"/>
        </w:rPr>
        <w:t>投资的流量有所减少。据美国经济分析局数据，</w:t>
      </w:r>
      <w:r w:rsidR="00CF2ACD" w:rsidRPr="000478CB">
        <w:rPr>
          <w:rFonts w:ascii="Times New Roman" w:eastAsia="宋体" w:hAnsi="Times New Roman" w:cs="Times New Roman" w:hint="eastAsia"/>
          <w:sz w:val="24"/>
          <w:szCs w:val="24"/>
        </w:rPr>
        <w:t>2020</w:t>
      </w:r>
      <w:r w:rsidR="00CF2ACD" w:rsidRPr="000478CB">
        <w:rPr>
          <w:rFonts w:ascii="Times New Roman" w:eastAsia="宋体" w:hAnsi="Times New Roman" w:cs="Times New Roman" w:hint="eastAsia"/>
          <w:sz w:val="24"/>
          <w:szCs w:val="24"/>
        </w:rPr>
        <w:t>年</w:t>
      </w:r>
      <w:r w:rsidR="00EB5A39">
        <w:rPr>
          <w:rFonts w:ascii="Times New Roman" w:eastAsia="宋体" w:hAnsi="Times New Roman" w:cs="Times New Roman" w:hint="eastAsia"/>
          <w:sz w:val="24"/>
          <w:szCs w:val="24"/>
        </w:rPr>
        <w:t>~</w:t>
      </w:r>
      <w:r w:rsidR="00CF2ACD" w:rsidRPr="000478CB">
        <w:rPr>
          <w:rFonts w:ascii="Times New Roman" w:eastAsia="宋体" w:hAnsi="Times New Roman" w:cs="Times New Roman" w:hint="eastAsia"/>
          <w:sz w:val="24"/>
          <w:szCs w:val="24"/>
        </w:rPr>
        <w:t>2023</w:t>
      </w:r>
      <w:r w:rsidR="00470B1A" w:rsidRPr="000478CB">
        <w:rPr>
          <w:rFonts w:ascii="Times New Roman" w:eastAsia="宋体" w:hAnsi="Times New Roman" w:cs="Times New Roman" w:hint="eastAsia"/>
          <w:sz w:val="24"/>
          <w:szCs w:val="24"/>
        </w:rPr>
        <w:t>年美对华</w:t>
      </w:r>
      <w:r w:rsidR="00CF2ACD" w:rsidRPr="000478CB">
        <w:rPr>
          <w:rFonts w:ascii="Times New Roman" w:eastAsia="宋体" w:hAnsi="Times New Roman" w:cs="Times New Roman" w:hint="eastAsia"/>
          <w:sz w:val="24"/>
          <w:szCs w:val="24"/>
        </w:rPr>
        <w:t>直接投资流量（未做现价调整）分别为</w:t>
      </w:r>
      <w:r w:rsidR="00CF2ACD" w:rsidRPr="000478CB">
        <w:rPr>
          <w:rFonts w:ascii="Times New Roman" w:eastAsia="宋体" w:hAnsi="Times New Roman" w:cs="Times New Roman" w:hint="eastAsia"/>
          <w:sz w:val="24"/>
          <w:szCs w:val="24"/>
        </w:rPr>
        <w:t>89.96</w:t>
      </w:r>
      <w:r w:rsidR="00CF2ACD" w:rsidRPr="000478CB">
        <w:rPr>
          <w:rFonts w:ascii="Times New Roman" w:eastAsia="宋体" w:hAnsi="Times New Roman" w:cs="Times New Roman" w:hint="eastAsia"/>
          <w:sz w:val="24"/>
          <w:szCs w:val="24"/>
        </w:rPr>
        <w:t>亿、</w:t>
      </w:r>
      <w:r w:rsidR="00CF2ACD" w:rsidRPr="000478CB">
        <w:rPr>
          <w:rFonts w:ascii="Times New Roman" w:eastAsia="宋体" w:hAnsi="Times New Roman" w:cs="Times New Roman" w:hint="eastAsia"/>
          <w:sz w:val="24"/>
          <w:szCs w:val="24"/>
        </w:rPr>
        <w:t>-11.84</w:t>
      </w:r>
      <w:r w:rsidR="00CF2ACD" w:rsidRPr="000478CB">
        <w:rPr>
          <w:rFonts w:ascii="Times New Roman" w:eastAsia="宋体" w:hAnsi="Times New Roman" w:cs="Times New Roman" w:hint="eastAsia"/>
          <w:sz w:val="24"/>
          <w:szCs w:val="24"/>
        </w:rPr>
        <w:t>亿、</w:t>
      </w:r>
      <w:r w:rsidR="00CF2ACD" w:rsidRPr="000478CB">
        <w:rPr>
          <w:rFonts w:ascii="Times New Roman" w:eastAsia="宋体" w:hAnsi="Times New Roman" w:cs="Times New Roman" w:hint="eastAsia"/>
          <w:sz w:val="24"/>
          <w:szCs w:val="24"/>
        </w:rPr>
        <w:t>82.07</w:t>
      </w:r>
      <w:r w:rsidR="00CF2ACD" w:rsidRPr="000478CB">
        <w:rPr>
          <w:rFonts w:ascii="Times New Roman" w:eastAsia="宋体" w:hAnsi="Times New Roman" w:cs="Times New Roman" w:hint="eastAsia"/>
          <w:sz w:val="24"/>
          <w:szCs w:val="24"/>
        </w:rPr>
        <w:t>亿和</w:t>
      </w:r>
      <w:r w:rsidR="00CF2ACD" w:rsidRPr="000478CB">
        <w:rPr>
          <w:rFonts w:ascii="Times New Roman" w:eastAsia="宋体" w:hAnsi="Times New Roman" w:cs="Times New Roman" w:hint="eastAsia"/>
          <w:sz w:val="24"/>
          <w:szCs w:val="24"/>
        </w:rPr>
        <w:t>51.31</w:t>
      </w:r>
      <w:r w:rsidR="00CF2ACD" w:rsidRPr="000478CB">
        <w:rPr>
          <w:rFonts w:ascii="Times New Roman" w:eastAsia="宋体" w:hAnsi="Times New Roman" w:cs="Times New Roman" w:hint="eastAsia"/>
          <w:sz w:val="24"/>
          <w:szCs w:val="24"/>
        </w:rPr>
        <w:t>亿美元</w:t>
      </w:r>
      <w:r w:rsidR="00860A99">
        <w:rPr>
          <w:rFonts w:ascii="Times New Roman" w:eastAsia="宋体" w:hAnsi="Times New Roman" w:cs="Times New Roman" w:hint="eastAsia"/>
          <w:sz w:val="24"/>
          <w:szCs w:val="24"/>
        </w:rPr>
        <w:t>，年度流量规模有一定波动或</w:t>
      </w:r>
      <w:r w:rsidR="00CF2ACD" w:rsidRPr="000478CB">
        <w:rPr>
          <w:rFonts w:ascii="Times New Roman" w:eastAsia="宋体" w:hAnsi="Times New Roman" w:cs="Times New Roman" w:hint="eastAsia"/>
          <w:sz w:val="24"/>
          <w:szCs w:val="24"/>
        </w:rPr>
        <w:t>下降。但是</w:t>
      </w:r>
      <w:r w:rsidR="00FE7A71" w:rsidRPr="000478CB">
        <w:rPr>
          <w:rFonts w:ascii="Times New Roman" w:eastAsia="宋体" w:hAnsi="Times New Roman" w:cs="Times New Roman" w:hint="eastAsia"/>
          <w:sz w:val="24"/>
          <w:szCs w:val="24"/>
        </w:rPr>
        <w:t>，即使中美</w:t>
      </w:r>
      <w:r w:rsidR="00FF00BD">
        <w:rPr>
          <w:rFonts w:ascii="Times New Roman" w:eastAsia="宋体" w:hAnsi="Times New Roman" w:cs="Times New Roman" w:hint="eastAsia"/>
          <w:sz w:val="24"/>
          <w:szCs w:val="24"/>
        </w:rPr>
        <w:t>之间存在种种贸易或科技摩擦</w:t>
      </w:r>
      <w:r w:rsidR="00A47305" w:rsidRPr="000478CB">
        <w:rPr>
          <w:rFonts w:ascii="Times New Roman" w:eastAsia="宋体" w:hAnsi="Times New Roman" w:cs="Times New Roman" w:hint="eastAsia"/>
          <w:sz w:val="24"/>
          <w:szCs w:val="24"/>
        </w:rPr>
        <w:t>，</w:t>
      </w:r>
      <w:r w:rsidR="00FE7A71" w:rsidRPr="000478CB">
        <w:rPr>
          <w:rFonts w:ascii="Times New Roman" w:eastAsia="宋体" w:hAnsi="Times New Roman" w:cs="Times New Roman" w:hint="eastAsia"/>
          <w:sz w:val="24"/>
          <w:szCs w:val="24"/>
        </w:rPr>
        <w:t>美国对</w:t>
      </w:r>
      <w:r w:rsidR="00CF2ACD" w:rsidRPr="000478CB">
        <w:rPr>
          <w:rFonts w:ascii="Times New Roman" w:eastAsia="宋体" w:hAnsi="Times New Roman" w:cs="Times New Roman" w:hint="eastAsia"/>
          <w:sz w:val="24"/>
          <w:szCs w:val="24"/>
        </w:rPr>
        <w:t>华</w:t>
      </w:r>
      <w:r w:rsidR="00FE7A71" w:rsidRPr="000478CB">
        <w:rPr>
          <w:rFonts w:ascii="Times New Roman" w:eastAsia="宋体" w:hAnsi="Times New Roman" w:cs="Times New Roman" w:hint="eastAsia"/>
          <w:sz w:val="24"/>
          <w:szCs w:val="24"/>
        </w:rPr>
        <w:t>直接投资</w:t>
      </w:r>
      <w:r w:rsidRPr="000478CB">
        <w:rPr>
          <w:rFonts w:ascii="Times New Roman" w:eastAsia="宋体" w:hAnsi="Times New Roman" w:cs="Times New Roman" w:hint="eastAsia"/>
          <w:sz w:val="24"/>
          <w:szCs w:val="24"/>
        </w:rPr>
        <w:t>的存量规模</w:t>
      </w:r>
      <w:r w:rsidR="009619EF" w:rsidRPr="000478CB">
        <w:rPr>
          <w:rFonts w:ascii="Times New Roman" w:eastAsia="宋体" w:hAnsi="Times New Roman" w:cs="Times New Roman" w:hint="eastAsia"/>
          <w:sz w:val="24"/>
          <w:szCs w:val="24"/>
        </w:rPr>
        <w:t>不降反升</w:t>
      </w:r>
      <w:r w:rsidR="00FE7A71" w:rsidRPr="000478CB">
        <w:rPr>
          <w:rFonts w:ascii="Times New Roman" w:eastAsia="宋体" w:hAnsi="Times New Roman" w:cs="Times New Roman" w:hint="eastAsia"/>
          <w:sz w:val="24"/>
          <w:szCs w:val="24"/>
        </w:rPr>
        <w:t>。</w:t>
      </w:r>
      <w:r w:rsidRPr="000478CB">
        <w:rPr>
          <w:rFonts w:ascii="Times New Roman" w:eastAsia="宋体" w:hAnsi="Times New Roman" w:cs="Times New Roman" w:hint="eastAsia"/>
          <w:sz w:val="24"/>
          <w:szCs w:val="24"/>
        </w:rPr>
        <w:t>这</w:t>
      </w:r>
      <w:r w:rsidR="00FE7A71" w:rsidRPr="000478CB">
        <w:rPr>
          <w:rFonts w:ascii="Times New Roman" w:eastAsia="宋体" w:hAnsi="Times New Roman" w:cs="Times New Roman" w:hint="eastAsia"/>
          <w:sz w:val="24"/>
          <w:szCs w:val="24"/>
        </w:rPr>
        <w:t>在一定程度上反映了中美之间产业链关联紧密性以及中国经济的弹性</w:t>
      </w:r>
      <w:r w:rsidR="00FF00BD">
        <w:rPr>
          <w:rFonts w:ascii="Times New Roman" w:eastAsia="宋体" w:hAnsi="Times New Roman" w:cs="Times New Roman" w:hint="eastAsia"/>
          <w:sz w:val="24"/>
          <w:szCs w:val="24"/>
        </w:rPr>
        <w:t>和</w:t>
      </w:r>
      <w:r w:rsidR="00FE7A71" w:rsidRPr="000478CB">
        <w:rPr>
          <w:rFonts w:ascii="Times New Roman" w:eastAsia="宋体" w:hAnsi="Times New Roman" w:cs="Times New Roman" w:hint="eastAsia"/>
          <w:sz w:val="24"/>
          <w:szCs w:val="24"/>
        </w:rPr>
        <w:t>韧性。中国高质量发展的中长期愿景</w:t>
      </w:r>
      <w:r w:rsidR="009619EF" w:rsidRPr="000478CB">
        <w:rPr>
          <w:rFonts w:ascii="Times New Roman" w:eastAsia="宋体" w:hAnsi="Times New Roman" w:cs="Times New Roman" w:hint="eastAsia"/>
          <w:sz w:val="24"/>
          <w:szCs w:val="24"/>
        </w:rPr>
        <w:t>、巨大市场规模和</w:t>
      </w:r>
      <w:r w:rsidR="00FE7A71" w:rsidRPr="000478CB">
        <w:rPr>
          <w:rFonts w:ascii="Times New Roman" w:eastAsia="宋体" w:hAnsi="Times New Roman" w:cs="Times New Roman" w:hint="eastAsia"/>
          <w:sz w:val="24"/>
          <w:szCs w:val="24"/>
        </w:rPr>
        <w:t>较高回报率对美方企业仍有较</w:t>
      </w:r>
      <w:r w:rsidR="00CF2ACD" w:rsidRPr="000478CB">
        <w:rPr>
          <w:rFonts w:ascii="Times New Roman" w:eastAsia="宋体" w:hAnsi="Times New Roman" w:cs="Times New Roman" w:hint="eastAsia"/>
          <w:sz w:val="24"/>
          <w:szCs w:val="24"/>
        </w:rPr>
        <w:t>强吸引力，美国产业资本并不愿意</w:t>
      </w:r>
      <w:r w:rsidRPr="000478CB">
        <w:rPr>
          <w:rFonts w:ascii="Times New Roman" w:eastAsia="宋体" w:hAnsi="Times New Roman" w:cs="Times New Roman" w:hint="eastAsia"/>
          <w:sz w:val="24"/>
          <w:szCs w:val="24"/>
        </w:rPr>
        <w:t>主动</w:t>
      </w:r>
      <w:r w:rsidR="00CF2ACD" w:rsidRPr="000478CB">
        <w:rPr>
          <w:rFonts w:ascii="Times New Roman" w:eastAsia="宋体" w:hAnsi="Times New Roman" w:cs="Times New Roman" w:hint="eastAsia"/>
          <w:sz w:val="24"/>
          <w:szCs w:val="24"/>
        </w:rPr>
        <w:t>“脱钩断链”。</w:t>
      </w:r>
      <w:r w:rsidR="009619EF" w:rsidRPr="000478CB">
        <w:rPr>
          <w:rFonts w:ascii="Times New Roman" w:eastAsia="宋体" w:hAnsi="Times New Roman" w:cs="Times New Roman" w:hint="eastAsia"/>
          <w:sz w:val="24"/>
          <w:szCs w:val="24"/>
        </w:rPr>
        <w:t>当然</w:t>
      </w:r>
      <w:r w:rsidR="00CF2ACD" w:rsidRPr="000478CB">
        <w:rPr>
          <w:rFonts w:ascii="Times New Roman" w:eastAsia="宋体" w:hAnsi="Times New Roman" w:cs="Times New Roman" w:hint="eastAsia"/>
          <w:sz w:val="24"/>
          <w:szCs w:val="24"/>
        </w:rPr>
        <w:t>，在特朗普</w:t>
      </w:r>
      <w:r w:rsidR="00CF2ACD" w:rsidRPr="000478CB">
        <w:rPr>
          <w:rFonts w:ascii="Times New Roman" w:eastAsia="宋体" w:hAnsi="Times New Roman" w:cs="Times New Roman" w:hint="eastAsia"/>
          <w:sz w:val="24"/>
          <w:szCs w:val="24"/>
        </w:rPr>
        <w:t>2.0</w:t>
      </w:r>
      <w:r w:rsidR="00CF2ACD" w:rsidRPr="000478CB">
        <w:rPr>
          <w:rFonts w:ascii="Times New Roman" w:eastAsia="宋体" w:hAnsi="Times New Roman" w:cs="Times New Roman" w:hint="eastAsia"/>
          <w:sz w:val="24"/>
          <w:szCs w:val="24"/>
        </w:rPr>
        <w:t>时期，如新政府全面实施对内减税和对外加征关税等政策，甚至对中国加收更高关税并限制投资，</w:t>
      </w:r>
      <w:r w:rsidR="00FF00BD">
        <w:rPr>
          <w:rFonts w:ascii="Times New Roman" w:eastAsia="宋体" w:hAnsi="Times New Roman" w:cs="Times New Roman" w:hint="eastAsia"/>
          <w:sz w:val="24"/>
          <w:szCs w:val="24"/>
        </w:rPr>
        <w:t>就</w:t>
      </w:r>
      <w:r w:rsidR="00CF2ACD" w:rsidRPr="000478CB">
        <w:rPr>
          <w:rFonts w:ascii="Times New Roman" w:eastAsia="宋体" w:hAnsi="Times New Roman" w:cs="Times New Roman" w:hint="eastAsia"/>
          <w:sz w:val="24"/>
          <w:szCs w:val="24"/>
        </w:rPr>
        <w:t>可能引致美国在华投资的产业回流和资本回流，</w:t>
      </w:r>
      <w:r w:rsidR="00D96F54" w:rsidRPr="000478CB">
        <w:rPr>
          <w:rFonts w:ascii="Times New Roman" w:eastAsia="宋体" w:hAnsi="Times New Roman" w:cs="Times New Roman" w:hint="eastAsia"/>
          <w:sz w:val="24"/>
          <w:szCs w:val="24"/>
        </w:rPr>
        <w:t>使</w:t>
      </w:r>
      <w:r w:rsidR="00CF2ACD" w:rsidRPr="000478CB">
        <w:rPr>
          <w:rFonts w:ascii="Times New Roman" w:eastAsia="宋体" w:hAnsi="Times New Roman" w:cs="Times New Roman" w:hint="eastAsia"/>
          <w:sz w:val="24"/>
          <w:szCs w:val="24"/>
        </w:rPr>
        <w:t>美国对华投资流量和存量</w:t>
      </w:r>
      <w:r w:rsidR="00D96F54" w:rsidRPr="000478CB">
        <w:rPr>
          <w:rFonts w:ascii="Times New Roman" w:eastAsia="宋体" w:hAnsi="Times New Roman" w:cs="Times New Roman" w:hint="eastAsia"/>
          <w:sz w:val="24"/>
          <w:szCs w:val="24"/>
        </w:rPr>
        <w:t>遭受</w:t>
      </w:r>
      <w:r w:rsidR="009619EF" w:rsidRPr="000478CB">
        <w:rPr>
          <w:rFonts w:ascii="Times New Roman" w:eastAsia="宋体" w:hAnsi="Times New Roman" w:cs="Times New Roman" w:hint="eastAsia"/>
          <w:sz w:val="24"/>
          <w:szCs w:val="24"/>
        </w:rPr>
        <w:t>一定</w:t>
      </w:r>
      <w:r w:rsidR="00CF2ACD" w:rsidRPr="000478CB">
        <w:rPr>
          <w:rFonts w:ascii="Times New Roman" w:eastAsia="宋体" w:hAnsi="Times New Roman" w:cs="Times New Roman" w:hint="eastAsia"/>
          <w:sz w:val="24"/>
          <w:szCs w:val="24"/>
        </w:rPr>
        <w:t>的负面影响。再</w:t>
      </w:r>
      <w:r w:rsidR="00FE7A71" w:rsidRPr="000478CB">
        <w:rPr>
          <w:rFonts w:ascii="Times New Roman" w:eastAsia="宋体" w:hAnsi="Times New Roman" w:cs="Times New Roman" w:hint="eastAsia"/>
          <w:sz w:val="24"/>
          <w:szCs w:val="24"/>
        </w:rPr>
        <w:t>从证券投资看，美国证券投资倚重中国，中国是</w:t>
      </w:r>
      <w:r w:rsidR="003657EB" w:rsidRPr="000478CB">
        <w:rPr>
          <w:rFonts w:ascii="Times New Roman" w:eastAsia="宋体" w:hAnsi="Times New Roman" w:cs="Times New Roman" w:hint="eastAsia"/>
          <w:sz w:val="24"/>
          <w:szCs w:val="24"/>
        </w:rPr>
        <w:t>美国国债的</w:t>
      </w:r>
      <w:r w:rsidRPr="000478CB">
        <w:rPr>
          <w:rFonts w:ascii="Times New Roman" w:eastAsia="宋体" w:hAnsi="Times New Roman" w:cs="Times New Roman" w:hint="eastAsia"/>
          <w:sz w:val="24"/>
          <w:szCs w:val="24"/>
        </w:rPr>
        <w:t>第二大</w:t>
      </w:r>
      <w:r w:rsidR="00CF2ACD" w:rsidRPr="000478CB">
        <w:rPr>
          <w:rFonts w:ascii="Times New Roman" w:eastAsia="宋体" w:hAnsi="Times New Roman" w:cs="Times New Roman" w:hint="eastAsia"/>
          <w:sz w:val="24"/>
          <w:szCs w:val="24"/>
        </w:rPr>
        <w:t>境外投资者</w:t>
      </w:r>
      <w:r w:rsidR="00FE7A71" w:rsidRPr="000478CB">
        <w:rPr>
          <w:rFonts w:ascii="Times New Roman" w:eastAsia="宋体" w:hAnsi="Times New Roman" w:cs="Times New Roman" w:hint="eastAsia"/>
          <w:sz w:val="24"/>
          <w:szCs w:val="24"/>
        </w:rPr>
        <w:t>。</w:t>
      </w:r>
      <w:r w:rsidR="009619EF" w:rsidRPr="000478CB">
        <w:rPr>
          <w:rFonts w:ascii="Times New Roman" w:eastAsia="宋体" w:hAnsi="Times New Roman" w:cs="Times New Roman" w:hint="eastAsia"/>
          <w:sz w:val="24"/>
          <w:szCs w:val="24"/>
        </w:rPr>
        <w:t>近年来，</w:t>
      </w:r>
      <w:r w:rsidR="00FE7A71" w:rsidRPr="000478CB">
        <w:rPr>
          <w:rFonts w:ascii="Times New Roman" w:eastAsia="宋体" w:hAnsi="Times New Roman" w:cs="Times New Roman" w:hint="eastAsia"/>
          <w:sz w:val="24"/>
          <w:szCs w:val="24"/>
        </w:rPr>
        <w:t>中国持有美国国债</w:t>
      </w:r>
      <w:r w:rsidR="00CF2ACD" w:rsidRPr="000478CB">
        <w:rPr>
          <w:rFonts w:ascii="Times New Roman" w:eastAsia="宋体" w:hAnsi="Times New Roman" w:cs="Times New Roman" w:hint="eastAsia"/>
          <w:sz w:val="24"/>
          <w:szCs w:val="24"/>
        </w:rPr>
        <w:t>有所减少，</w:t>
      </w:r>
      <w:r w:rsidR="00FF00BD">
        <w:rPr>
          <w:rFonts w:ascii="Times New Roman" w:eastAsia="宋体" w:hAnsi="Times New Roman" w:cs="Times New Roman" w:hint="eastAsia"/>
          <w:sz w:val="24"/>
          <w:szCs w:val="24"/>
        </w:rPr>
        <w:t>但其</w:t>
      </w:r>
      <w:r w:rsidR="00CF2ACD" w:rsidRPr="000478CB">
        <w:rPr>
          <w:rFonts w:ascii="Times New Roman" w:eastAsia="宋体" w:hAnsi="Times New Roman" w:cs="Times New Roman" w:hint="eastAsia"/>
          <w:sz w:val="24"/>
          <w:szCs w:val="24"/>
        </w:rPr>
        <w:t>总体规模</w:t>
      </w:r>
      <w:r w:rsidR="009619EF" w:rsidRPr="000478CB">
        <w:rPr>
          <w:rFonts w:ascii="Times New Roman" w:eastAsia="宋体" w:hAnsi="Times New Roman" w:cs="Times New Roman" w:hint="eastAsia"/>
          <w:sz w:val="24"/>
          <w:szCs w:val="24"/>
        </w:rPr>
        <w:t>与处于基本平衡的中国国际收支相适应，同时也与中国</w:t>
      </w:r>
      <w:r w:rsidR="00FE7A71" w:rsidRPr="000478CB">
        <w:rPr>
          <w:rFonts w:ascii="Times New Roman" w:eastAsia="宋体" w:hAnsi="Times New Roman" w:cs="Times New Roman" w:hint="eastAsia"/>
          <w:sz w:val="24"/>
          <w:szCs w:val="24"/>
        </w:rPr>
        <w:t>海外</w:t>
      </w:r>
      <w:r w:rsidR="00437AB7" w:rsidRPr="000478CB">
        <w:rPr>
          <w:rFonts w:ascii="Times New Roman" w:eastAsia="宋体" w:hAnsi="Times New Roman" w:cs="Times New Roman" w:hint="eastAsia"/>
          <w:sz w:val="24"/>
          <w:szCs w:val="24"/>
        </w:rPr>
        <w:t>资产负债</w:t>
      </w:r>
      <w:r w:rsidR="009224AC" w:rsidRPr="000478CB">
        <w:rPr>
          <w:rFonts w:ascii="Times New Roman" w:eastAsia="宋体" w:hAnsi="Times New Roman" w:cs="Times New Roman" w:hint="eastAsia"/>
          <w:sz w:val="24"/>
          <w:szCs w:val="24"/>
        </w:rPr>
        <w:t>调整相匹配，并未出现过持续大幅抛售美国国债的情况。</w:t>
      </w:r>
      <w:r w:rsidR="00FF00BD">
        <w:rPr>
          <w:rFonts w:ascii="Times New Roman" w:eastAsia="宋体" w:hAnsi="Times New Roman" w:cs="Times New Roman" w:hint="eastAsia"/>
          <w:sz w:val="24"/>
          <w:szCs w:val="24"/>
        </w:rPr>
        <w:t>此外</w:t>
      </w:r>
      <w:r w:rsidR="00437AB7" w:rsidRPr="000478CB">
        <w:rPr>
          <w:rFonts w:ascii="Times New Roman" w:eastAsia="宋体" w:hAnsi="Times New Roman" w:cs="Times New Roman" w:hint="eastAsia"/>
          <w:sz w:val="24"/>
          <w:szCs w:val="24"/>
        </w:rPr>
        <w:t>，</w:t>
      </w:r>
      <w:r w:rsidR="003657EB" w:rsidRPr="000478CB">
        <w:rPr>
          <w:rFonts w:ascii="Times New Roman" w:eastAsia="宋体" w:hAnsi="Times New Roman" w:cs="Times New Roman" w:hint="eastAsia"/>
          <w:sz w:val="24"/>
          <w:szCs w:val="24"/>
        </w:rPr>
        <w:t>中国</w:t>
      </w:r>
      <w:r w:rsidR="00437AB7" w:rsidRPr="000478CB">
        <w:rPr>
          <w:rFonts w:ascii="Times New Roman" w:eastAsia="宋体" w:hAnsi="Times New Roman" w:cs="Times New Roman" w:hint="eastAsia"/>
          <w:sz w:val="24"/>
          <w:szCs w:val="24"/>
        </w:rPr>
        <w:t>持有</w:t>
      </w:r>
      <w:r w:rsidR="003657EB" w:rsidRPr="000478CB">
        <w:rPr>
          <w:rFonts w:ascii="Times New Roman" w:eastAsia="宋体" w:hAnsi="Times New Roman" w:cs="Times New Roman" w:hint="eastAsia"/>
          <w:sz w:val="24"/>
          <w:szCs w:val="24"/>
        </w:rPr>
        <w:t>美国国债</w:t>
      </w:r>
      <w:r w:rsidR="00C03D8B" w:rsidRPr="000478CB">
        <w:rPr>
          <w:rFonts w:ascii="Times New Roman" w:eastAsia="宋体" w:hAnsi="Times New Roman" w:cs="Times New Roman" w:hint="eastAsia"/>
          <w:sz w:val="24"/>
          <w:szCs w:val="24"/>
        </w:rPr>
        <w:t>余额</w:t>
      </w:r>
      <w:r w:rsidR="00437AB7" w:rsidRPr="000478CB">
        <w:rPr>
          <w:rFonts w:ascii="Times New Roman" w:eastAsia="宋体" w:hAnsi="Times New Roman" w:cs="Times New Roman" w:hint="eastAsia"/>
          <w:sz w:val="24"/>
          <w:szCs w:val="24"/>
        </w:rPr>
        <w:t>还</w:t>
      </w:r>
      <w:r w:rsidR="00FF00BD">
        <w:rPr>
          <w:rFonts w:ascii="Times New Roman" w:eastAsia="宋体" w:hAnsi="Times New Roman" w:cs="Times New Roman" w:hint="eastAsia"/>
          <w:sz w:val="24"/>
          <w:szCs w:val="24"/>
        </w:rPr>
        <w:t>受到</w:t>
      </w:r>
      <w:r w:rsidR="00437AB7" w:rsidRPr="000478CB">
        <w:rPr>
          <w:rFonts w:ascii="Times New Roman" w:eastAsia="宋体" w:hAnsi="Times New Roman" w:cs="Times New Roman" w:hint="eastAsia"/>
          <w:sz w:val="24"/>
          <w:szCs w:val="24"/>
        </w:rPr>
        <w:t>估值效应的影响，</w:t>
      </w:r>
      <w:r w:rsidR="00A21E11">
        <w:rPr>
          <w:rFonts w:ascii="Times New Roman" w:eastAsia="宋体" w:hAnsi="Times New Roman" w:cs="Times New Roman" w:hint="eastAsia"/>
          <w:sz w:val="24"/>
          <w:szCs w:val="24"/>
        </w:rPr>
        <w:t>且</w:t>
      </w:r>
      <w:r w:rsidR="00E66795" w:rsidRPr="000478CB">
        <w:rPr>
          <w:rFonts w:ascii="Times New Roman" w:eastAsia="宋体" w:hAnsi="Times New Roman" w:cs="Times New Roman" w:hint="eastAsia"/>
          <w:sz w:val="24"/>
          <w:szCs w:val="24"/>
        </w:rPr>
        <w:t>在部分时段</w:t>
      </w:r>
      <w:r w:rsidR="00FF00BD">
        <w:rPr>
          <w:rFonts w:ascii="Times New Roman" w:eastAsia="宋体" w:hAnsi="Times New Roman" w:cs="Times New Roman" w:hint="eastAsia"/>
          <w:sz w:val="24"/>
          <w:szCs w:val="24"/>
        </w:rPr>
        <w:t>负向的</w:t>
      </w:r>
      <w:r w:rsidRPr="000478CB">
        <w:rPr>
          <w:rFonts w:ascii="Times New Roman" w:eastAsia="宋体" w:hAnsi="Times New Roman" w:cs="Times New Roman" w:hint="eastAsia"/>
          <w:sz w:val="24"/>
          <w:szCs w:val="24"/>
        </w:rPr>
        <w:t>估值效应</w:t>
      </w:r>
      <w:r w:rsidR="00E66795" w:rsidRPr="000478CB">
        <w:rPr>
          <w:rFonts w:ascii="Times New Roman" w:eastAsia="宋体" w:hAnsi="Times New Roman" w:cs="Times New Roman" w:hint="eastAsia"/>
          <w:sz w:val="24"/>
          <w:szCs w:val="24"/>
        </w:rPr>
        <w:t>是</w:t>
      </w:r>
      <w:r w:rsidR="00FF00BD">
        <w:rPr>
          <w:rFonts w:ascii="Times New Roman" w:eastAsia="宋体" w:hAnsi="Times New Roman" w:cs="Times New Roman" w:hint="eastAsia"/>
          <w:sz w:val="24"/>
          <w:szCs w:val="24"/>
        </w:rPr>
        <w:t>余额下降</w:t>
      </w:r>
      <w:r w:rsidR="00E66795" w:rsidRPr="000478CB">
        <w:rPr>
          <w:rFonts w:ascii="Times New Roman" w:eastAsia="宋体" w:hAnsi="Times New Roman" w:cs="Times New Roman" w:hint="eastAsia"/>
          <w:sz w:val="24"/>
          <w:szCs w:val="24"/>
        </w:rPr>
        <w:t>主要原因</w:t>
      </w:r>
      <w:r w:rsidR="003657EB" w:rsidRPr="000478CB">
        <w:rPr>
          <w:rFonts w:ascii="Times New Roman" w:eastAsia="宋体" w:hAnsi="Times New Roman" w:cs="Times New Roman" w:hint="eastAsia"/>
          <w:sz w:val="24"/>
          <w:szCs w:val="24"/>
        </w:rPr>
        <w:t>。</w:t>
      </w:r>
    </w:p>
    <w:p w14:paraId="70F0792B" w14:textId="08E545A4" w:rsidR="00683891" w:rsidRPr="000478CB" w:rsidRDefault="00FE7A71"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sidRPr="000478CB">
        <w:rPr>
          <w:rFonts w:ascii="Times New Roman" w:eastAsia="宋体" w:hAnsi="Times New Roman" w:cs="Times New Roman" w:hint="eastAsia"/>
          <w:sz w:val="24"/>
          <w:szCs w:val="24"/>
        </w:rPr>
        <w:t>当然，从未来发展角度，中国可以更多投资国际资产特别是直接投</w:t>
      </w:r>
      <w:r w:rsidR="00CF2ACD" w:rsidRPr="000478CB">
        <w:rPr>
          <w:rFonts w:ascii="Times New Roman" w:eastAsia="宋体" w:hAnsi="Times New Roman" w:cs="Times New Roman" w:hint="eastAsia"/>
          <w:sz w:val="24"/>
          <w:szCs w:val="24"/>
        </w:rPr>
        <w:t>资资产，</w:t>
      </w:r>
      <w:r w:rsidR="00CF2ACD" w:rsidRPr="000478CB">
        <w:rPr>
          <w:rFonts w:ascii="Times New Roman" w:eastAsia="宋体" w:hAnsi="Times New Roman" w:cs="Times New Roman" w:hint="eastAsia"/>
          <w:sz w:val="24"/>
          <w:szCs w:val="24"/>
        </w:rPr>
        <w:lastRenderedPageBreak/>
        <w:t>与海外企业共同组建更</w:t>
      </w:r>
      <w:r w:rsidR="00FF00BD">
        <w:rPr>
          <w:rFonts w:ascii="Times New Roman" w:eastAsia="宋体" w:hAnsi="Times New Roman" w:cs="Times New Roman" w:hint="eastAsia"/>
          <w:sz w:val="24"/>
          <w:szCs w:val="24"/>
        </w:rPr>
        <w:t>具</w:t>
      </w:r>
      <w:r w:rsidR="00CF2ACD" w:rsidRPr="000478CB">
        <w:rPr>
          <w:rFonts w:ascii="Times New Roman" w:eastAsia="宋体" w:hAnsi="Times New Roman" w:cs="Times New Roman" w:hint="eastAsia"/>
          <w:sz w:val="24"/>
          <w:szCs w:val="24"/>
        </w:rPr>
        <w:t>弹性</w:t>
      </w:r>
      <w:r w:rsidR="00FF00BD">
        <w:rPr>
          <w:rFonts w:ascii="Times New Roman" w:eastAsia="宋体" w:hAnsi="Times New Roman" w:cs="Times New Roman" w:hint="eastAsia"/>
          <w:sz w:val="24"/>
          <w:szCs w:val="24"/>
        </w:rPr>
        <w:t>与</w:t>
      </w:r>
      <w:r w:rsidR="00CF2ACD" w:rsidRPr="000478CB">
        <w:rPr>
          <w:rFonts w:ascii="Times New Roman" w:eastAsia="宋体" w:hAnsi="Times New Roman" w:cs="Times New Roman" w:hint="eastAsia"/>
          <w:sz w:val="24"/>
          <w:szCs w:val="24"/>
        </w:rPr>
        <w:t>韧性的全球产业链和价值链</w:t>
      </w:r>
      <w:r w:rsidR="00FF00BD">
        <w:rPr>
          <w:rFonts w:ascii="Times New Roman" w:eastAsia="宋体" w:hAnsi="Times New Roman" w:cs="Times New Roman" w:hint="eastAsia"/>
          <w:sz w:val="24"/>
          <w:szCs w:val="24"/>
        </w:rPr>
        <w:t>。</w:t>
      </w:r>
      <w:r w:rsidRPr="000478CB">
        <w:rPr>
          <w:rFonts w:ascii="Times New Roman" w:eastAsia="宋体" w:hAnsi="Times New Roman" w:cs="Times New Roman" w:hint="eastAsia"/>
          <w:sz w:val="24"/>
          <w:szCs w:val="24"/>
        </w:rPr>
        <w:t>同时，中国金融市场要提升广度深度并进一步</w:t>
      </w:r>
      <w:r w:rsidR="00CF2ACD" w:rsidRPr="000478CB">
        <w:rPr>
          <w:rFonts w:ascii="Times New Roman" w:eastAsia="宋体" w:hAnsi="Times New Roman" w:cs="Times New Roman" w:hint="eastAsia"/>
          <w:sz w:val="24"/>
          <w:szCs w:val="24"/>
        </w:rPr>
        <w:t>高水平</w:t>
      </w:r>
      <w:r w:rsidRPr="000478CB">
        <w:rPr>
          <w:rFonts w:ascii="Times New Roman" w:eastAsia="宋体" w:hAnsi="Times New Roman" w:cs="Times New Roman" w:hint="eastAsia"/>
          <w:sz w:val="24"/>
          <w:szCs w:val="24"/>
        </w:rPr>
        <w:t>开放，鼓励和欢迎包括美国资本在</w:t>
      </w:r>
      <w:r w:rsidR="00CF2ACD" w:rsidRPr="000478CB">
        <w:rPr>
          <w:rFonts w:ascii="Times New Roman" w:eastAsia="宋体" w:hAnsi="Times New Roman" w:cs="Times New Roman" w:hint="eastAsia"/>
          <w:sz w:val="24"/>
          <w:szCs w:val="24"/>
        </w:rPr>
        <w:t>内的国际资本更多投资中国的高质量证券资产。美国持有中国证券资产较</w:t>
      </w:r>
      <w:r w:rsidRPr="000478CB">
        <w:rPr>
          <w:rFonts w:ascii="Times New Roman" w:eastAsia="宋体" w:hAnsi="Times New Roman" w:cs="Times New Roman" w:hint="eastAsia"/>
          <w:sz w:val="24"/>
          <w:szCs w:val="24"/>
        </w:rPr>
        <w:t>少，不仅反映美国对华证券资产的相对谨慎性，而且侧面反映中国证券资产特别是高质量资产供给的相对不足</w:t>
      </w:r>
      <w:r w:rsidR="00CF2ACD" w:rsidRPr="000478CB">
        <w:rPr>
          <w:rFonts w:ascii="Times New Roman" w:eastAsia="宋体" w:hAnsi="Times New Roman" w:cs="Times New Roman" w:hint="eastAsia"/>
          <w:sz w:val="24"/>
          <w:szCs w:val="24"/>
        </w:rPr>
        <w:t>。</w:t>
      </w:r>
      <w:r w:rsidRPr="000478CB">
        <w:rPr>
          <w:rFonts w:ascii="Times New Roman" w:eastAsia="宋体" w:hAnsi="Times New Roman" w:cs="Times New Roman" w:hint="eastAsia"/>
          <w:sz w:val="24"/>
          <w:szCs w:val="24"/>
        </w:rPr>
        <w:t>全球金融资产的供给能力是全球资产布局和负债匹配的应有之义。在动荡的金融体系之中，安全资产的供给是相对有限的甚至是短缺的</w:t>
      </w:r>
      <w:r w:rsidRPr="000478CB">
        <w:rPr>
          <w:rFonts w:ascii="Times New Roman" w:eastAsia="宋体" w:hAnsi="Times New Roman" w:cs="Times New Roman"/>
          <w:sz w:val="24"/>
          <w:szCs w:val="24"/>
        </w:rPr>
        <w:t>（</w:t>
      </w:r>
      <w:r w:rsidRPr="000478CB">
        <w:rPr>
          <w:rFonts w:ascii="Times New Roman" w:eastAsia="宋体" w:hAnsi="Times New Roman" w:cs="Times New Roman"/>
          <w:sz w:val="24"/>
          <w:szCs w:val="24"/>
        </w:rPr>
        <w:t>Caballero</w:t>
      </w:r>
      <w:r w:rsidRPr="000478CB">
        <w:rPr>
          <w:rFonts w:ascii="Times New Roman" w:eastAsia="宋体" w:hAnsi="Times New Roman" w:cs="Times New Roman"/>
          <w:sz w:val="24"/>
          <w:szCs w:val="24"/>
        </w:rPr>
        <w:t>，</w:t>
      </w:r>
      <w:r w:rsidRPr="000478CB">
        <w:rPr>
          <w:rFonts w:ascii="Times New Roman" w:eastAsia="宋体" w:hAnsi="Times New Roman" w:cs="Times New Roman"/>
          <w:sz w:val="24"/>
          <w:szCs w:val="24"/>
        </w:rPr>
        <w:t>2006</w:t>
      </w:r>
      <w:r w:rsidRPr="000478CB">
        <w:rPr>
          <w:rFonts w:ascii="Times New Roman" w:eastAsia="宋体" w:hAnsi="Times New Roman" w:cs="Times New Roman"/>
          <w:sz w:val="24"/>
          <w:szCs w:val="24"/>
        </w:rPr>
        <w:t>；</w:t>
      </w:r>
      <w:r w:rsidRPr="000478CB">
        <w:rPr>
          <w:rFonts w:ascii="Times New Roman" w:eastAsia="宋体" w:hAnsi="Times New Roman" w:cs="Times New Roman"/>
          <w:sz w:val="24"/>
          <w:szCs w:val="24"/>
        </w:rPr>
        <w:t>Krishnamurthy and Vissing-Jorgensen, 2012</w:t>
      </w:r>
      <w:r w:rsidRPr="000478CB">
        <w:rPr>
          <w:rFonts w:ascii="Times New Roman" w:eastAsia="宋体" w:hAnsi="Times New Roman" w:cs="Times New Roman"/>
          <w:sz w:val="24"/>
          <w:szCs w:val="24"/>
        </w:rPr>
        <w:t>）</w:t>
      </w:r>
      <w:r w:rsidRPr="000478CB">
        <w:rPr>
          <w:rFonts w:ascii="Times New Roman" w:eastAsia="宋体" w:hAnsi="Times New Roman" w:cs="Times New Roman" w:hint="eastAsia"/>
          <w:sz w:val="24"/>
          <w:szCs w:val="24"/>
        </w:rPr>
        <w:t>。在</w:t>
      </w:r>
      <w:r w:rsidRPr="000478CB">
        <w:rPr>
          <w:rFonts w:ascii="Times New Roman" w:eastAsia="宋体" w:hAnsi="Times New Roman" w:cs="Times New Roman"/>
          <w:sz w:val="24"/>
          <w:szCs w:val="24"/>
        </w:rPr>
        <w:t>资本项目</w:t>
      </w:r>
      <w:r w:rsidRPr="000478CB">
        <w:rPr>
          <w:rFonts w:ascii="Times New Roman" w:eastAsia="宋体" w:hAnsi="Times New Roman" w:cs="Times New Roman" w:hint="eastAsia"/>
          <w:sz w:val="24"/>
          <w:szCs w:val="24"/>
        </w:rPr>
        <w:t>存在部分管制的</w:t>
      </w:r>
      <w:r w:rsidRPr="000478CB">
        <w:rPr>
          <w:rFonts w:ascii="Times New Roman" w:eastAsia="宋体" w:hAnsi="Times New Roman" w:cs="Times New Roman"/>
          <w:sz w:val="24"/>
          <w:szCs w:val="24"/>
        </w:rPr>
        <w:t>背景</w:t>
      </w:r>
      <w:r w:rsidRPr="0069410B">
        <w:rPr>
          <w:rFonts w:ascii="宋体" w:eastAsia="宋体" w:hAnsi="宋体" w:cs="Times New Roman"/>
          <w:sz w:val="24"/>
          <w:szCs w:val="24"/>
        </w:rPr>
        <w:t>下，“管道式”开放进程</w:t>
      </w:r>
      <w:r w:rsidRPr="000478CB">
        <w:rPr>
          <w:rFonts w:ascii="Times New Roman" w:eastAsia="宋体" w:hAnsi="Times New Roman" w:cs="Times New Roman"/>
          <w:sz w:val="24"/>
          <w:szCs w:val="24"/>
        </w:rPr>
        <w:t>中，中国如何深化与国际金融市场的内在关联，如何形成一个将中国作为核心节点</w:t>
      </w:r>
      <w:r w:rsidRPr="000478CB">
        <w:rPr>
          <w:rFonts w:ascii="Times New Roman" w:eastAsia="宋体" w:hAnsi="Times New Roman" w:cs="Times New Roman" w:hint="eastAsia"/>
          <w:sz w:val="24"/>
          <w:szCs w:val="24"/>
        </w:rPr>
        <w:t>、中美良性互动</w:t>
      </w:r>
      <w:r w:rsidRPr="000478CB">
        <w:rPr>
          <w:rFonts w:ascii="Times New Roman" w:eastAsia="宋体" w:hAnsi="Times New Roman" w:cs="Times New Roman"/>
          <w:sz w:val="24"/>
          <w:szCs w:val="24"/>
        </w:rPr>
        <w:t>的全球投融资体系或资产负债匹配体系，也是一个非常具有探索意义的理论和政策议题。这实际上是在开放条件下</w:t>
      </w:r>
      <w:r w:rsidRPr="0069410B">
        <w:rPr>
          <w:rFonts w:ascii="宋体" w:eastAsia="宋体" w:hAnsi="宋体" w:cs="Times New Roman"/>
          <w:sz w:val="24"/>
          <w:szCs w:val="24"/>
        </w:rPr>
        <w:t>的“不可能三角”</w:t>
      </w:r>
      <w:r w:rsidRPr="0069410B">
        <w:rPr>
          <w:rFonts w:ascii="宋体" w:eastAsia="宋体" w:hAnsi="宋体" w:cs="Times New Roman" w:hint="eastAsia"/>
          <w:sz w:val="24"/>
          <w:szCs w:val="24"/>
        </w:rPr>
        <w:t>困境</w:t>
      </w:r>
      <w:r w:rsidRPr="000478CB">
        <w:rPr>
          <w:rFonts w:ascii="Times New Roman" w:eastAsia="宋体" w:hAnsi="Times New Roman" w:cs="Times New Roman"/>
          <w:sz w:val="24"/>
          <w:szCs w:val="24"/>
        </w:rPr>
        <w:t>寻找中间解（易纲</w:t>
      </w:r>
      <w:r w:rsidR="00B6283E">
        <w:rPr>
          <w:rFonts w:ascii="Times New Roman" w:eastAsia="宋体" w:hAnsi="Times New Roman" w:cs="Times New Roman" w:hint="eastAsia"/>
          <w:sz w:val="24"/>
          <w:szCs w:val="24"/>
        </w:rPr>
        <w:t>和</w:t>
      </w:r>
      <w:r w:rsidRPr="000478CB">
        <w:rPr>
          <w:rFonts w:ascii="Times New Roman" w:eastAsia="宋体" w:hAnsi="Times New Roman" w:cs="Times New Roman"/>
          <w:sz w:val="24"/>
          <w:szCs w:val="24"/>
        </w:rPr>
        <w:t>汤弦，</w:t>
      </w:r>
      <w:r w:rsidRPr="000478CB">
        <w:rPr>
          <w:rFonts w:ascii="Times New Roman" w:eastAsia="宋体" w:hAnsi="Times New Roman" w:cs="Times New Roman"/>
          <w:sz w:val="24"/>
          <w:szCs w:val="24"/>
        </w:rPr>
        <w:t>2001</w:t>
      </w:r>
      <w:r w:rsidRPr="000478CB">
        <w:rPr>
          <w:rFonts w:ascii="Times New Roman" w:eastAsia="宋体" w:hAnsi="Times New Roman" w:cs="Times New Roman"/>
          <w:sz w:val="24"/>
          <w:szCs w:val="24"/>
        </w:rPr>
        <w:t>）。</w:t>
      </w:r>
      <w:r w:rsidRPr="000478CB">
        <w:rPr>
          <w:rFonts w:ascii="Times New Roman" w:eastAsia="宋体" w:hAnsi="Times New Roman" w:cs="Times New Roman" w:hint="eastAsia"/>
          <w:sz w:val="24"/>
          <w:szCs w:val="24"/>
        </w:rPr>
        <w:t>在开放条件下，如何有效提供具有吸引力的安全资产、</w:t>
      </w:r>
      <w:proofErr w:type="gramStart"/>
      <w:r w:rsidRPr="000478CB">
        <w:rPr>
          <w:rFonts w:ascii="Times New Roman" w:eastAsia="宋体" w:hAnsi="Times New Roman" w:cs="Times New Roman" w:hint="eastAsia"/>
          <w:sz w:val="24"/>
          <w:szCs w:val="24"/>
        </w:rPr>
        <w:t>准安全</w:t>
      </w:r>
      <w:proofErr w:type="gramEnd"/>
      <w:r w:rsidRPr="000478CB">
        <w:rPr>
          <w:rFonts w:ascii="Times New Roman" w:eastAsia="宋体" w:hAnsi="Times New Roman" w:cs="Times New Roman" w:hint="eastAsia"/>
          <w:sz w:val="24"/>
          <w:szCs w:val="24"/>
        </w:rPr>
        <w:t>资产或多样化投融资产品，对中国高水平金融开放、人民币国际化和</w:t>
      </w:r>
      <w:r w:rsidR="00604C59" w:rsidRPr="000478CB">
        <w:rPr>
          <w:rFonts w:ascii="Times New Roman" w:eastAsia="宋体" w:hAnsi="Times New Roman" w:cs="Times New Roman" w:hint="eastAsia"/>
          <w:sz w:val="24"/>
          <w:szCs w:val="24"/>
        </w:rPr>
        <w:t>内外两个大局统筹</w:t>
      </w:r>
      <w:r w:rsidR="00CF2ACD" w:rsidRPr="000478CB">
        <w:rPr>
          <w:rFonts w:ascii="Times New Roman" w:eastAsia="宋体" w:hAnsi="Times New Roman" w:cs="Times New Roman" w:hint="eastAsia"/>
          <w:sz w:val="24"/>
          <w:szCs w:val="24"/>
        </w:rPr>
        <w:t>均</w:t>
      </w:r>
      <w:r w:rsidRPr="000478CB">
        <w:rPr>
          <w:rFonts w:ascii="Times New Roman" w:eastAsia="宋体" w:hAnsi="Times New Roman" w:cs="Times New Roman" w:hint="eastAsia"/>
          <w:sz w:val="24"/>
          <w:szCs w:val="24"/>
        </w:rPr>
        <w:t>具有非常</w:t>
      </w:r>
      <w:r w:rsidR="00604C59" w:rsidRPr="000478CB">
        <w:rPr>
          <w:rFonts w:ascii="Times New Roman" w:eastAsia="宋体" w:hAnsi="Times New Roman" w:cs="Times New Roman" w:hint="eastAsia"/>
          <w:sz w:val="24"/>
          <w:szCs w:val="24"/>
        </w:rPr>
        <w:t>重要的</w:t>
      </w:r>
      <w:r w:rsidRPr="000478CB">
        <w:rPr>
          <w:rFonts w:ascii="Times New Roman" w:eastAsia="宋体" w:hAnsi="Times New Roman" w:cs="Times New Roman" w:hint="eastAsia"/>
          <w:sz w:val="24"/>
          <w:szCs w:val="24"/>
        </w:rPr>
        <w:t>意义。</w:t>
      </w:r>
    </w:p>
    <w:p w14:paraId="0B9E78E7" w14:textId="77777777" w:rsidR="00A82D0E" w:rsidRPr="000478CB" w:rsidRDefault="00A82D0E" w:rsidP="00AF0AF5">
      <w:pPr>
        <w:adjustRightInd w:val="0"/>
        <w:snapToGrid w:val="0"/>
        <w:spacing w:before="100" w:beforeAutospacing="1" w:after="100" w:afterAutospacing="1" w:line="360" w:lineRule="auto"/>
        <w:ind w:firstLineChars="200" w:firstLine="480"/>
        <w:contextualSpacing/>
        <w:rPr>
          <w:sz w:val="24"/>
          <w:szCs w:val="24"/>
        </w:rPr>
      </w:pPr>
      <w:r w:rsidRPr="000478CB">
        <w:rPr>
          <w:rFonts w:hint="eastAsia"/>
          <w:sz w:val="24"/>
          <w:szCs w:val="24"/>
        </w:rPr>
        <w:t>（四）数字金融</w:t>
      </w:r>
      <w:r w:rsidR="00367F16" w:rsidRPr="000478CB">
        <w:rPr>
          <w:rFonts w:hint="eastAsia"/>
          <w:sz w:val="24"/>
          <w:szCs w:val="24"/>
        </w:rPr>
        <w:t>新赛道</w:t>
      </w:r>
    </w:p>
    <w:p w14:paraId="14722706" w14:textId="45A87C43" w:rsidR="003D2770" w:rsidRDefault="00B81362" w:rsidP="00AF0AF5">
      <w:pPr>
        <w:adjustRightInd w:val="0"/>
        <w:snapToGrid w:val="0"/>
        <w:spacing w:before="100" w:beforeAutospacing="1" w:after="100" w:afterAutospacing="1" w:line="360" w:lineRule="auto"/>
        <w:ind w:firstLineChars="200" w:firstLine="480"/>
        <w:contextualSpacing/>
        <w:rPr>
          <w:sz w:val="24"/>
          <w:szCs w:val="24"/>
        </w:rPr>
      </w:pPr>
      <w:r w:rsidRPr="000478CB">
        <w:rPr>
          <w:rFonts w:hint="eastAsia"/>
          <w:sz w:val="24"/>
          <w:szCs w:val="24"/>
        </w:rPr>
        <w:t>数字金融是国际货币金融体系发展的</w:t>
      </w:r>
      <w:r w:rsidR="00B6283E">
        <w:rPr>
          <w:rFonts w:hint="eastAsia"/>
          <w:sz w:val="24"/>
          <w:szCs w:val="24"/>
        </w:rPr>
        <w:t>重要</w:t>
      </w:r>
      <w:r w:rsidRPr="000478CB">
        <w:rPr>
          <w:rFonts w:hint="eastAsia"/>
          <w:sz w:val="24"/>
          <w:szCs w:val="24"/>
        </w:rPr>
        <w:t>趋势，是未来大国博弈的核心领域，将成为货币金融竞争的新高地。在数字金融竞争</w:t>
      </w:r>
      <w:r w:rsidRPr="000478CB">
        <w:rPr>
          <w:rFonts w:hint="eastAsia"/>
          <w:sz w:val="24"/>
          <w:szCs w:val="24"/>
        </w:rPr>
        <w:t>1.0</w:t>
      </w:r>
      <w:r w:rsidRPr="000478CB">
        <w:rPr>
          <w:rFonts w:hint="eastAsia"/>
          <w:sz w:val="24"/>
          <w:szCs w:val="24"/>
        </w:rPr>
        <w:t>阶段，</w:t>
      </w:r>
      <w:r w:rsidR="00A21E11">
        <w:rPr>
          <w:rFonts w:hint="eastAsia"/>
          <w:sz w:val="24"/>
          <w:szCs w:val="24"/>
        </w:rPr>
        <w:t>中国的</w:t>
      </w:r>
      <w:r w:rsidR="003D2770" w:rsidRPr="000478CB">
        <w:rPr>
          <w:rFonts w:hint="eastAsia"/>
          <w:sz w:val="24"/>
          <w:szCs w:val="24"/>
        </w:rPr>
        <w:t>移动支付</w:t>
      </w:r>
      <w:r w:rsidRPr="000478CB">
        <w:rPr>
          <w:rFonts w:hint="eastAsia"/>
          <w:sz w:val="24"/>
          <w:szCs w:val="24"/>
        </w:rPr>
        <w:t>、</w:t>
      </w:r>
      <w:r w:rsidR="003D2770" w:rsidRPr="000478CB">
        <w:rPr>
          <w:rFonts w:hint="eastAsia"/>
          <w:sz w:val="24"/>
          <w:szCs w:val="24"/>
        </w:rPr>
        <w:t>大科技信贷</w:t>
      </w:r>
      <w:r w:rsidRPr="000478CB">
        <w:rPr>
          <w:rFonts w:hint="eastAsia"/>
          <w:sz w:val="24"/>
          <w:szCs w:val="24"/>
        </w:rPr>
        <w:t>、</w:t>
      </w:r>
      <w:r w:rsidR="003D2770" w:rsidRPr="000478CB">
        <w:rPr>
          <w:rFonts w:hint="eastAsia"/>
          <w:sz w:val="24"/>
          <w:szCs w:val="24"/>
        </w:rPr>
        <w:t>数字普惠金融</w:t>
      </w:r>
      <w:r w:rsidRPr="000478CB">
        <w:rPr>
          <w:rFonts w:hint="eastAsia"/>
          <w:sz w:val="24"/>
          <w:szCs w:val="24"/>
        </w:rPr>
        <w:t>、</w:t>
      </w:r>
      <w:r w:rsidR="003D2770" w:rsidRPr="000478CB">
        <w:rPr>
          <w:rFonts w:hint="eastAsia"/>
          <w:sz w:val="24"/>
          <w:szCs w:val="24"/>
        </w:rPr>
        <w:t>央行数字货币</w:t>
      </w:r>
      <w:r w:rsidRPr="000478CB">
        <w:rPr>
          <w:rFonts w:hint="eastAsia"/>
          <w:sz w:val="24"/>
          <w:szCs w:val="24"/>
        </w:rPr>
        <w:t>等</w:t>
      </w:r>
      <w:r w:rsidR="00A21E11">
        <w:rPr>
          <w:rFonts w:hint="eastAsia"/>
          <w:sz w:val="24"/>
          <w:szCs w:val="24"/>
        </w:rPr>
        <w:t>走在世界前列。移动支付对以信用卡</w:t>
      </w:r>
      <w:r w:rsidR="00BF221B" w:rsidRPr="000478CB">
        <w:rPr>
          <w:rFonts w:hint="eastAsia"/>
          <w:sz w:val="24"/>
          <w:szCs w:val="24"/>
        </w:rPr>
        <w:t>为主导</w:t>
      </w:r>
      <w:r w:rsidR="00A21E11">
        <w:rPr>
          <w:rFonts w:hint="eastAsia"/>
          <w:sz w:val="24"/>
          <w:szCs w:val="24"/>
        </w:rPr>
        <w:t>的无现金支付带来了“革命”。根据国际清算银行</w:t>
      </w:r>
      <w:r w:rsidR="003D2770" w:rsidRPr="000478CB">
        <w:rPr>
          <w:rFonts w:hint="eastAsia"/>
          <w:sz w:val="24"/>
          <w:szCs w:val="24"/>
        </w:rPr>
        <w:t>数据，</w:t>
      </w:r>
      <w:r w:rsidR="003D2770" w:rsidRPr="000478CB">
        <w:rPr>
          <w:rFonts w:ascii="Times New Roman" w:eastAsia="宋体" w:hAnsi="Times New Roman" w:cs="Times New Roman" w:hint="eastAsia"/>
          <w:sz w:val="24"/>
          <w:szCs w:val="24"/>
        </w:rPr>
        <w:t>中国</w:t>
      </w:r>
      <w:r w:rsidR="003D2770" w:rsidRPr="000478CB">
        <w:rPr>
          <w:rFonts w:ascii="Times New Roman" w:eastAsia="宋体" w:hAnsi="Times New Roman" w:cs="Times New Roman" w:hint="eastAsia"/>
          <w:sz w:val="24"/>
          <w:szCs w:val="24"/>
        </w:rPr>
        <w:t>2012</w:t>
      </w:r>
      <w:r w:rsidR="00B6283E">
        <w:rPr>
          <w:rFonts w:ascii="Times New Roman" w:eastAsia="宋体" w:hAnsi="Times New Roman" w:cs="Times New Roman" w:hint="eastAsia"/>
          <w:sz w:val="24"/>
          <w:szCs w:val="24"/>
        </w:rPr>
        <w:t>~</w:t>
      </w:r>
      <w:r w:rsidR="003D2770" w:rsidRPr="000478CB">
        <w:rPr>
          <w:rFonts w:ascii="Times New Roman" w:eastAsia="宋体" w:hAnsi="Times New Roman" w:cs="Times New Roman" w:hint="eastAsia"/>
          <w:sz w:val="24"/>
          <w:szCs w:val="24"/>
        </w:rPr>
        <w:t>2022</w:t>
      </w:r>
      <w:r w:rsidR="003D2770" w:rsidRPr="000478CB">
        <w:rPr>
          <w:rFonts w:ascii="Times New Roman" w:eastAsia="宋体" w:hAnsi="Times New Roman" w:cs="Times New Roman" w:hint="eastAsia"/>
          <w:sz w:val="24"/>
          <w:szCs w:val="24"/>
        </w:rPr>
        <w:t>年无现金支付金额从</w:t>
      </w:r>
      <w:r w:rsidR="003D2770" w:rsidRPr="000478CB">
        <w:rPr>
          <w:rFonts w:ascii="Times New Roman" w:eastAsia="宋体" w:hAnsi="Times New Roman" w:cs="Times New Roman" w:hint="eastAsia"/>
          <w:sz w:val="24"/>
          <w:szCs w:val="24"/>
        </w:rPr>
        <w:t>16</w:t>
      </w:r>
      <w:r w:rsidR="00C61BB1">
        <w:rPr>
          <w:rFonts w:ascii="Times New Roman" w:eastAsia="宋体" w:hAnsi="Times New Roman" w:cs="Times New Roman"/>
          <w:sz w:val="24"/>
          <w:szCs w:val="24"/>
        </w:rPr>
        <w:t>2</w:t>
      </w:r>
      <w:r w:rsidR="003D2770" w:rsidRPr="000478CB">
        <w:rPr>
          <w:rFonts w:ascii="Times New Roman" w:eastAsia="宋体" w:hAnsi="Times New Roman" w:cs="Times New Roman" w:hint="eastAsia"/>
          <w:sz w:val="24"/>
          <w:szCs w:val="24"/>
        </w:rPr>
        <w:t>.</w:t>
      </w:r>
      <w:r w:rsidR="00C61BB1">
        <w:rPr>
          <w:rFonts w:ascii="Times New Roman" w:eastAsia="宋体" w:hAnsi="Times New Roman" w:cs="Times New Roman"/>
          <w:sz w:val="24"/>
          <w:szCs w:val="24"/>
        </w:rPr>
        <w:t>12</w:t>
      </w:r>
      <w:proofErr w:type="gramStart"/>
      <w:r w:rsidR="003D2770" w:rsidRPr="000478CB">
        <w:rPr>
          <w:rFonts w:ascii="Times New Roman" w:eastAsia="宋体" w:hAnsi="Times New Roman" w:cs="Times New Roman" w:hint="eastAsia"/>
          <w:sz w:val="24"/>
          <w:szCs w:val="24"/>
        </w:rPr>
        <w:t>万亿</w:t>
      </w:r>
      <w:proofErr w:type="gramEnd"/>
      <w:r w:rsidR="003D2770" w:rsidRPr="000478CB">
        <w:rPr>
          <w:rFonts w:ascii="Times New Roman" w:eastAsia="宋体" w:hAnsi="Times New Roman" w:cs="Times New Roman" w:hint="eastAsia"/>
          <w:sz w:val="24"/>
          <w:szCs w:val="24"/>
        </w:rPr>
        <w:t>美元增长至</w:t>
      </w:r>
      <w:r w:rsidR="003D2770" w:rsidRPr="000478CB">
        <w:rPr>
          <w:rFonts w:ascii="Times New Roman" w:eastAsia="宋体" w:hAnsi="Times New Roman" w:cs="Times New Roman" w:hint="eastAsia"/>
          <w:sz w:val="24"/>
          <w:szCs w:val="24"/>
        </w:rPr>
        <w:t>6</w:t>
      </w:r>
      <w:r w:rsidR="00C61BB1">
        <w:rPr>
          <w:rFonts w:ascii="Times New Roman" w:eastAsia="宋体" w:hAnsi="Times New Roman" w:cs="Times New Roman"/>
          <w:sz w:val="24"/>
          <w:szCs w:val="24"/>
        </w:rPr>
        <w:t>58</w:t>
      </w:r>
      <w:r w:rsidR="003D2770" w:rsidRPr="000478CB">
        <w:rPr>
          <w:rFonts w:ascii="Times New Roman" w:eastAsia="宋体" w:hAnsi="Times New Roman" w:cs="Times New Roman" w:hint="eastAsia"/>
          <w:sz w:val="24"/>
          <w:szCs w:val="24"/>
        </w:rPr>
        <w:t>.</w:t>
      </w:r>
      <w:r w:rsidR="00C61BB1">
        <w:rPr>
          <w:rFonts w:ascii="Times New Roman" w:eastAsia="宋体" w:hAnsi="Times New Roman" w:cs="Times New Roman"/>
          <w:sz w:val="24"/>
          <w:szCs w:val="24"/>
        </w:rPr>
        <w:t>24</w:t>
      </w:r>
      <w:proofErr w:type="gramStart"/>
      <w:r w:rsidR="003D2770" w:rsidRPr="000478CB">
        <w:rPr>
          <w:rFonts w:ascii="Times New Roman" w:eastAsia="宋体" w:hAnsi="Times New Roman" w:cs="Times New Roman" w:hint="eastAsia"/>
          <w:sz w:val="24"/>
          <w:szCs w:val="24"/>
        </w:rPr>
        <w:t>万亿</w:t>
      </w:r>
      <w:proofErr w:type="gramEnd"/>
      <w:r w:rsidR="003D2770" w:rsidRPr="000478CB">
        <w:rPr>
          <w:rFonts w:ascii="Times New Roman" w:eastAsia="宋体" w:hAnsi="Times New Roman" w:cs="Times New Roman" w:hint="eastAsia"/>
          <w:sz w:val="24"/>
          <w:szCs w:val="24"/>
        </w:rPr>
        <w:t>美元，</w:t>
      </w:r>
      <w:r w:rsidR="003D2770" w:rsidRPr="000478CB">
        <w:rPr>
          <w:rFonts w:ascii="Times New Roman" w:eastAsia="宋体" w:hAnsi="Times New Roman" w:cs="Times New Roman" w:hint="eastAsia"/>
          <w:sz w:val="24"/>
          <w:szCs w:val="24"/>
        </w:rPr>
        <w:t>10</w:t>
      </w:r>
      <w:r w:rsidR="003D2770" w:rsidRPr="000478CB">
        <w:rPr>
          <w:rFonts w:ascii="Times New Roman" w:eastAsia="宋体" w:hAnsi="Times New Roman" w:cs="Times New Roman" w:hint="eastAsia"/>
          <w:sz w:val="24"/>
          <w:szCs w:val="24"/>
        </w:rPr>
        <w:t>年间总增长幅度约</w:t>
      </w:r>
      <w:r w:rsidR="003D2770" w:rsidRPr="000478CB">
        <w:rPr>
          <w:rFonts w:ascii="Times New Roman" w:eastAsia="宋体" w:hAnsi="Times New Roman" w:cs="Times New Roman" w:hint="eastAsia"/>
          <w:sz w:val="24"/>
          <w:szCs w:val="24"/>
        </w:rPr>
        <w:t>306.0</w:t>
      </w:r>
      <w:r w:rsidR="00011BE2">
        <w:rPr>
          <w:rFonts w:ascii="Times New Roman" w:eastAsia="宋体" w:hAnsi="Times New Roman" w:cs="Times New Roman"/>
          <w:sz w:val="24"/>
          <w:szCs w:val="24"/>
        </w:rPr>
        <w:t>2</w:t>
      </w:r>
      <w:r w:rsidR="003D2770" w:rsidRPr="000478CB">
        <w:rPr>
          <w:rFonts w:ascii="Times New Roman" w:eastAsia="宋体" w:hAnsi="Times New Roman" w:cs="Times New Roman" w:hint="eastAsia"/>
          <w:sz w:val="24"/>
          <w:szCs w:val="24"/>
        </w:rPr>
        <w:t>%</w:t>
      </w:r>
      <w:r w:rsidR="003D2770" w:rsidRPr="000478CB">
        <w:rPr>
          <w:rFonts w:ascii="Times New Roman" w:eastAsia="宋体" w:hAnsi="Times New Roman" w:cs="Times New Roman" w:hint="eastAsia"/>
          <w:sz w:val="24"/>
          <w:szCs w:val="24"/>
        </w:rPr>
        <w:t>，其中，</w:t>
      </w:r>
      <w:r w:rsidR="00604C59" w:rsidRPr="000478CB">
        <w:rPr>
          <w:rFonts w:ascii="Times New Roman" w:eastAsia="宋体" w:hAnsi="Times New Roman" w:cs="Times New Roman" w:hint="eastAsia"/>
          <w:sz w:val="24"/>
          <w:szCs w:val="24"/>
        </w:rPr>
        <w:t>移动支付贡献最大。</w:t>
      </w:r>
      <w:r w:rsidR="003D2770" w:rsidRPr="000478CB">
        <w:rPr>
          <w:rFonts w:hint="eastAsia"/>
          <w:sz w:val="24"/>
          <w:szCs w:val="24"/>
        </w:rPr>
        <w:t>2014</w:t>
      </w:r>
      <w:r w:rsidR="003D2770" w:rsidRPr="000478CB">
        <w:rPr>
          <w:rFonts w:hint="eastAsia"/>
          <w:sz w:val="24"/>
          <w:szCs w:val="24"/>
        </w:rPr>
        <w:t>年是中国移动支付“爆炸式”发展的一年，当年移动支付规模呈现近</w:t>
      </w:r>
      <w:r w:rsidR="003D2770" w:rsidRPr="000478CB">
        <w:rPr>
          <w:rFonts w:hint="eastAsia"/>
          <w:sz w:val="24"/>
          <w:szCs w:val="24"/>
        </w:rPr>
        <w:t>1</w:t>
      </w:r>
      <w:r w:rsidR="003D2770" w:rsidRPr="000478CB">
        <w:rPr>
          <w:rFonts w:hint="eastAsia"/>
          <w:sz w:val="24"/>
          <w:szCs w:val="24"/>
        </w:rPr>
        <w:t>倍的增长。而美国以信用卡为</w:t>
      </w:r>
      <w:r w:rsidR="00A21E11">
        <w:rPr>
          <w:rFonts w:hint="eastAsia"/>
          <w:sz w:val="24"/>
          <w:szCs w:val="24"/>
        </w:rPr>
        <w:t>支撑的无现金支付则保持较低增长</w:t>
      </w:r>
      <w:r w:rsidR="000931D3" w:rsidRPr="000478CB">
        <w:rPr>
          <w:rFonts w:hint="eastAsia"/>
          <w:sz w:val="24"/>
          <w:szCs w:val="24"/>
        </w:rPr>
        <w:t>，</w:t>
      </w:r>
      <w:proofErr w:type="gramStart"/>
      <w:r w:rsidR="00A21E11">
        <w:rPr>
          <w:rFonts w:ascii="Times New Roman" w:eastAsia="宋体" w:hAnsi="Times New Roman" w:cs="Times New Roman" w:hint="eastAsia"/>
          <w:sz w:val="24"/>
          <w:szCs w:val="24"/>
        </w:rPr>
        <w:t>同期</w:t>
      </w:r>
      <w:r w:rsidR="000931D3" w:rsidRPr="000478CB">
        <w:rPr>
          <w:rFonts w:ascii="Times New Roman" w:eastAsia="宋体" w:hAnsi="Times New Roman" w:cs="Times New Roman" w:hint="eastAsia"/>
          <w:sz w:val="24"/>
          <w:szCs w:val="24"/>
        </w:rPr>
        <w:t>无</w:t>
      </w:r>
      <w:proofErr w:type="gramEnd"/>
      <w:r w:rsidR="000931D3" w:rsidRPr="000478CB">
        <w:rPr>
          <w:rFonts w:ascii="Times New Roman" w:eastAsia="宋体" w:hAnsi="Times New Roman" w:cs="Times New Roman" w:hint="eastAsia"/>
          <w:sz w:val="24"/>
          <w:szCs w:val="24"/>
        </w:rPr>
        <w:t>现金支付规模从</w:t>
      </w:r>
      <w:r w:rsidR="000931D3" w:rsidRPr="000478CB">
        <w:rPr>
          <w:rFonts w:ascii="Times New Roman" w:eastAsia="宋体" w:hAnsi="Times New Roman" w:cs="Times New Roman" w:hint="eastAsia"/>
          <w:sz w:val="24"/>
          <w:szCs w:val="24"/>
        </w:rPr>
        <w:t>77.62</w:t>
      </w:r>
      <w:proofErr w:type="gramStart"/>
      <w:r w:rsidR="000931D3" w:rsidRPr="000478CB">
        <w:rPr>
          <w:rFonts w:ascii="Times New Roman" w:eastAsia="宋体" w:hAnsi="Times New Roman" w:cs="Times New Roman" w:hint="eastAsia"/>
          <w:sz w:val="24"/>
          <w:szCs w:val="24"/>
        </w:rPr>
        <w:t>万亿</w:t>
      </w:r>
      <w:proofErr w:type="gramEnd"/>
      <w:r w:rsidR="000931D3" w:rsidRPr="000478CB">
        <w:rPr>
          <w:rFonts w:ascii="Times New Roman" w:eastAsia="宋体" w:hAnsi="Times New Roman" w:cs="Times New Roman" w:hint="eastAsia"/>
          <w:sz w:val="24"/>
          <w:szCs w:val="24"/>
        </w:rPr>
        <w:t>美元增长至</w:t>
      </w:r>
      <w:r w:rsidR="000931D3" w:rsidRPr="000478CB">
        <w:rPr>
          <w:rFonts w:ascii="Times New Roman" w:eastAsia="宋体" w:hAnsi="Times New Roman" w:cs="Times New Roman" w:hint="eastAsia"/>
          <w:sz w:val="24"/>
          <w:szCs w:val="24"/>
        </w:rPr>
        <w:t>134.26</w:t>
      </w:r>
      <w:proofErr w:type="gramStart"/>
      <w:r w:rsidR="000931D3" w:rsidRPr="000478CB">
        <w:rPr>
          <w:rFonts w:ascii="Times New Roman" w:eastAsia="宋体" w:hAnsi="Times New Roman" w:cs="Times New Roman" w:hint="eastAsia"/>
          <w:sz w:val="24"/>
          <w:szCs w:val="24"/>
        </w:rPr>
        <w:t>万亿</w:t>
      </w:r>
      <w:proofErr w:type="gramEnd"/>
      <w:r w:rsidR="000931D3" w:rsidRPr="000478CB">
        <w:rPr>
          <w:rFonts w:ascii="Times New Roman" w:eastAsia="宋体" w:hAnsi="Times New Roman" w:cs="Times New Roman" w:hint="eastAsia"/>
          <w:sz w:val="24"/>
          <w:szCs w:val="24"/>
        </w:rPr>
        <w:t>美元，增幅为</w:t>
      </w:r>
      <w:r w:rsidR="000931D3" w:rsidRPr="000478CB">
        <w:rPr>
          <w:rFonts w:ascii="Times New Roman" w:eastAsia="宋体" w:hAnsi="Times New Roman" w:cs="Times New Roman" w:hint="eastAsia"/>
          <w:sz w:val="24"/>
          <w:szCs w:val="24"/>
        </w:rPr>
        <w:t>73%</w:t>
      </w:r>
      <w:r w:rsidR="000931D3" w:rsidRPr="000478CB">
        <w:rPr>
          <w:rFonts w:hint="eastAsia"/>
          <w:sz w:val="24"/>
          <w:szCs w:val="24"/>
        </w:rPr>
        <w:t>（详见图</w:t>
      </w:r>
      <w:r w:rsidR="00D96F54" w:rsidRPr="000478CB">
        <w:rPr>
          <w:rFonts w:hint="eastAsia"/>
          <w:sz w:val="24"/>
          <w:szCs w:val="24"/>
        </w:rPr>
        <w:t>11</w:t>
      </w:r>
      <w:r w:rsidR="000931D3" w:rsidRPr="000478CB">
        <w:rPr>
          <w:rFonts w:hint="eastAsia"/>
          <w:sz w:val="24"/>
          <w:szCs w:val="24"/>
        </w:rPr>
        <w:t>）。</w:t>
      </w:r>
      <w:r w:rsidR="007C7CFD" w:rsidRPr="000478CB">
        <w:rPr>
          <w:rFonts w:hint="eastAsia"/>
          <w:sz w:val="24"/>
          <w:szCs w:val="24"/>
        </w:rPr>
        <w:t>中国在央行数字货币</w:t>
      </w:r>
      <w:r w:rsidR="00B6283E">
        <w:rPr>
          <w:rFonts w:hint="eastAsia"/>
          <w:sz w:val="24"/>
          <w:szCs w:val="24"/>
        </w:rPr>
        <w:t>上</w:t>
      </w:r>
      <w:r w:rsidR="007C7CFD" w:rsidRPr="000478CB">
        <w:rPr>
          <w:rFonts w:hint="eastAsia"/>
          <w:sz w:val="24"/>
          <w:szCs w:val="24"/>
        </w:rPr>
        <w:t>的探索同样走在世界前列。</w:t>
      </w:r>
      <w:r w:rsidR="007C7CFD" w:rsidRPr="000478CB">
        <w:rPr>
          <w:rFonts w:hint="eastAsia"/>
          <w:sz w:val="24"/>
          <w:szCs w:val="24"/>
        </w:rPr>
        <w:t>2014</w:t>
      </w:r>
      <w:r w:rsidR="007C7CFD" w:rsidRPr="000478CB">
        <w:rPr>
          <w:rFonts w:hint="eastAsia"/>
          <w:sz w:val="24"/>
          <w:szCs w:val="24"/>
        </w:rPr>
        <w:t>年中国人民银行成立法定数字货币研究小组，开展专项研究，其后经过与商业银行共同开发、试点测试、场景拓展及</w:t>
      </w:r>
      <w:r w:rsidR="005D18A0" w:rsidRPr="000478CB">
        <w:rPr>
          <w:rFonts w:hint="eastAsia"/>
          <w:sz w:val="24"/>
          <w:szCs w:val="24"/>
        </w:rPr>
        <w:t>应用</w:t>
      </w:r>
      <w:r w:rsidR="007C7CFD" w:rsidRPr="000478CB">
        <w:rPr>
          <w:rFonts w:hint="eastAsia"/>
          <w:sz w:val="24"/>
          <w:szCs w:val="24"/>
        </w:rPr>
        <w:t>推广，</w:t>
      </w:r>
      <w:r w:rsidR="007C7CFD" w:rsidRPr="000478CB">
        <w:rPr>
          <w:rFonts w:hint="eastAsia"/>
          <w:sz w:val="24"/>
          <w:szCs w:val="24"/>
        </w:rPr>
        <w:t>2024</w:t>
      </w:r>
      <w:r w:rsidR="007C7CFD" w:rsidRPr="000478CB">
        <w:rPr>
          <w:rFonts w:hint="eastAsia"/>
          <w:sz w:val="24"/>
          <w:szCs w:val="24"/>
        </w:rPr>
        <w:t>年</w:t>
      </w:r>
      <w:r w:rsidR="007C7CFD" w:rsidRPr="000478CB">
        <w:rPr>
          <w:rFonts w:hint="eastAsia"/>
          <w:sz w:val="24"/>
          <w:szCs w:val="24"/>
        </w:rPr>
        <w:t>6</w:t>
      </w:r>
      <w:r w:rsidR="007C7CFD" w:rsidRPr="000478CB">
        <w:rPr>
          <w:rFonts w:hint="eastAsia"/>
          <w:sz w:val="24"/>
          <w:szCs w:val="24"/>
        </w:rPr>
        <w:t>月末，数字人民币累计交易规模已突破</w:t>
      </w:r>
      <w:r w:rsidR="007C7CFD" w:rsidRPr="000478CB">
        <w:rPr>
          <w:rFonts w:hint="eastAsia"/>
          <w:sz w:val="24"/>
          <w:szCs w:val="24"/>
        </w:rPr>
        <w:t>7</w:t>
      </w:r>
      <w:proofErr w:type="gramStart"/>
      <w:r w:rsidR="007C7CFD" w:rsidRPr="000478CB">
        <w:rPr>
          <w:rFonts w:hint="eastAsia"/>
          <w:sz w:val="24"/>
          <w:szCs w:val="24"/>
        </w:rPr>
        <w:t>万亿</w:t>
      </w:r>
      <w:proofErr w:type="gramEnd"/>
      <w:r w:rsidR="007C7CFD" w:rsidRPr="000478CB">
        <w:rPr>
          <w:rFonts w:hint="eastAsia"/>
          <w:sz w:val="24"/>
          <w:szCs w:val="24"/>
        </w:rPr>
        <w:t>元。</w:t>
      </w:r>
    </w:p>
    <w:p w14:paraId="0E49B32A" w14:textId="3C6B122C" w:rsidR="00821B07" w:rsidRPr="000478CB" w:rsidRDefault="00821B07" w:rsidP="00AF0AF5">
      <w:pPr>
        <w:adjustRightInd w:val="0"/>
        <w:snapToGrid w:val="0"/>
        <w:spacing w:before="100" w:beforeAutospacing="1" w:after="100" w:afterAutospacing="1" w:line="360" w:lineRule="auto"/>
        <w:ind w:firstLineChars="200" w:firstLine="420"/>
        <w:contextualSpacing/>
        <w:rPr>
          <w:sz w:val="24"/>
          <w:szCs w:val="24"/>
        </w:rPr>
      </w:pPr>
      <w:r>
        <w:rPr>
          <w:noProof/>
        </w:rPr>
        <w:lastRenderedPageBreak/>
        <w:drawing>
          <wp:inline distT="0" distB="0" distL="0" distR="0" wp14:anchorId="72A4F97F" wp14:editId="3E048355">
            <wp:extent cx="5048250" cy="2724150"/>
            <wp:effectExtent l="0" t="0" r="0" b="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758B469" w14:textId="17E1B7DD" w:rsidR="003D2770" w:rsidRPr="00C1372D" w:rsidRDefault="00A155C4" w:rsidP="00AF0AF5">
      <w:pPr>
        <w:adjustRightInd w:val="0"/>
        <w:snapToGrid w:val="0"/>
        <w:spacing w:before="100" w:beforeAutospacing="1" w:after="100" w:afterAutospacing="1" w:line="360" w:lineRule="auto"/>
        <w:ind w:firstLineChars="200" w:firstLine="480"/>
        <w:contextualSpacing/>
        <w:jc w:val="center"/>
        <w:rPr>
          <w:sz w:val="24"/>
          <w:szCs w:val="24"/>
        </w:rPr>
      </w:pPr>
      <w:r w:rsidRPr="00C1372D">
        <w:rPr>
          <w:rFonts w:hint="eastAsia"/>
          <w:sz w:val="24"/>
          <w:szCs w:val="24"/>
        </w:rPr>
        <w:t>图</w:t>
      </w:r>
      <w:r w:rsidR="00604C59" w:rsidRPr="00C1372D">
        <w:rPr>
          <w:rFonts w:hint="eastAsia"/>
          <w:sz w:val="24"/>
          <w:szCs w:val="24"/>
        </w:rPr>
        <w:t>11</w:t>
      </w:r>
      <w:r w:rsidRPr="00C1372D">
        <w:rPr>
          <w:rFonts w:hint="eastAsia"/>
          <w:sz w:val="24"/>
          <w:szCs w:val="24"/>
        </w:rPr>
        <w:t xml:space="preserve"> </w:t>
      </w:r>
      <w:r w:rsidRPr="00C1372D">
        <w:rPr>
          <w:rFonts w:hint="eastAsia"/>
          <w:sz w:val="24"/>
          <w:szCs w:val="24"/>
        </w:rPr>
        <w:t>中美无现金支付金额</w:t>
      </w:r>
    </w:p>
    <w:p w14:paraId="010E1244" w14:textId="5FE218B0" w:rsidR="003D2770" w:rsidRPr="00696A28" w:rsidRDefault="00A155C4" w:rsidP="00AF0AF5">
      <w:pPr>
        <w:adjustRightInd w:val="0"/>
        <w:snapToGrid w:val="0"/>
        <w:spacing w:before="100" w:beforeAutospacing="1" w:after="100" w:afterAutospacing="1" w:line="360" w:lineRule="auto"/>
        <w:ind w:firstLineChars="200" w:firstLine="420"/>
        <w:contextualSpacing/>
        <w:rPr>
          <w:szCs w:val="21"/>
        </w:rPr>
      </w:pPr>
      <w:r w:rsidRPr="00696A28">
        <w:rPr>
          <w:rFonts w:hint="eastAsia"/>
          <w:szCs w:val="21"/>
        </w:rPr>
        <w:t>资料来源：</w:t>
      </w:r>
      <w:r w:rsidRPr="00696A28">
        <w:rPr>
          <w:rFonts w:hint="eastAsia"/>
          <w:szCs w:val="21"/>
        </w:rPr>
        <w:t>BIS</w:t>
      </w:r>
      <w:r w:rsidR="00B6283E">
        <w:rPr>
          <w:rFonts w:hint="eastAsia"/>
          <w:szCs w:val="21"/>
        </w:rPr>
        <w:t>。</w:t>
      </w:r>
    </w:p>
    <w:p w14:paraId="54CCF3E2" w14:textId="4A2D8AAF" w:rsidR="008254B9" w:rsidRPr="000478CB" w:rsidRDefault="00A21E11"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Pr>
          <w:rFonts w:hint="eastAsia"/>
          <w:sz w:val="24"/>
          <w:szCs w:val="24"/>
        </w:rPr>
        <w:t>加密资产</w:t>
      </w:r>
      <w:r w:rsidR="00C4086A" w:rsidRPr="000478CB">
        <w:rPr>
          <w:rFonts w:hint="eastAsia"/>
          <w:sz w:val="24"/>
          <w:szCs w:val="24"/>
        </w:rPr>
        <w:t>是当前国际社会数字金融发展的</w:t>
      </w:r>
      <w:r w:rsidR="00B6283E">
        <w:rPr>
          <w:rFonts w:hint="eastAsia"/>
          <w:sz w:val="24"/>
          <w:szCs w:val="24"/>
        </w:rPr>
        <w:t>新兴</w:t>
      </w:r>
      <w:r w:rsidR="008254B9" w:rsidRPr="000478CB">
        <w:rPr>
          <w:rFonts w:hint="eastAsia"/>
          <w:sz w:val="24"/>
          <w:szCs w:val="24"/>
        </w:rPr>
        <w:t>领域。美国</w:t>
      </w:r>
      <w:r>
        <w:rPr>
          <w:rFonts w:hint="eastAsia"/>
          <w:sz w:val="24"/>
          <w:szCs w:val="24"/>
        </w:rPr>
        <w:t>是</w:t>
      </w:r>
      <w:r w:rsidR="008254B9" w:rsidRPr="000478CB">
        <w:rPr>
          <w:sz w:val="24"/>
          <w:szCs w:val="24"/>
        </w:rPr>
        <w:t>全球最大且最活跃的加密资产市场</w:t>
      </w:r>
      <w:r>
        <w:rPr>
          <w:rFonts w:hint="eastAsia"/>
          <w:sz w:val="24"/>
          <w:szCs w:val="24"/>
        </w:rPr>
        <w:t>，拥</w:t>
      </w:r>
      <w:r w:rsidR="008254B9" w:rsidRPr="000478CB">
        <w:rPr>
          <w:sz w:val="24"/>
          <w:szCs w:val="24"/>
        </w:rPr>
        <w:t>有众多的加密货币交易所、钱包服务提供商，</w:t>
      </w:r>
      <w:r w:rsidR="008254B9" w:rsidRPr="000478CB">
        <w:rPr>
          <w:rFonts w:hint="eastAsia"/>
          <w:sz w:val="24"/>
          <w:szCs w:val="24"/>
        </w:rPr>
        <w:t>并</w:t>
      </w:r>
      <w:r w:rsidR="008254B9" w:rsidRPr="000478CB">
        <w:rPr>
          <w:sz w:val="24"/>
          <w:szCs w:val="24"/>
        </w:rPr>
        <w:t>吸引了全球大量的投资者和交易者。</w:t>
      </w:r>
      <w:r w:rsidR="008254B9" w:rsidRPr="000478CB">
        <w:rPr>
          <w:rFonts w:hint="eastAsia"/>
          <w:sz w:val="24"/>
          <w:szCs w:val="24"/>
        </w:rPr>
        <w:t>如表</w:t>
      </w:r>
      <w:r w:rsidR="004809E3">
        <w:rPr>
          <w:sz w:val="24"/>
          <w:szCs w:val="24"/>
        </w:rPr>
        <w:t>3</w:t>
      </w:r>
      <w:r w:rsidR="008254B9" w:rsidRPr="000478CB">
        <w:rPr>
          <w:rFonts w:hint="eastAsia"/>
          <w:sz w:val="24"/>
          <w:szCs w:val="24"/>
        </w:rPr>
        <w:t>所示，比特币作为加密资产市场龙头和核心驱动力，总市值在</w:t>
      </w:r>
      <w:r w:rsidR="008254B9" w:rsidRPr="000478CB">
        <w:rPr>
          <w:rFonts w:hint="eastAsia"/>
          <w:sz w:val="24"/>
          <w:szCs w:val="24"/>
        </w:rPr>
        <w:t>2024</w:t>
      </w:r>
      <w:r w:rsidR="008254B9" w:rsidRPr="000478CB">
        <w:rPr>
          <w:rFonts w:hint="eastAsia"/>
          <w:sz w:val="24"/>
          <w:szCs w:val="24"/>
        </w:rPr>
        <w:t>年第二季度突破</w:t>
      </w:r>
      <w:r w:rsidR="008254B9" w:rsidRPr="000478CB">
        <w:rPr>
          <w:rFonts w:hint="eastAsia"/>
          <w:sz w:val="24"/>
          <w:szCs w:val="24"/>
        </w:rPr>
        <w:t>1</w:t>
      </w:r>
      <w:proofErr w:type="gramStart"/>
      <w:r>
        <w:rPr>
          <w:rFonts w:hint="eastAsia"/>
          <w:sz w:val="24"/>
          <w:szCs w:val="24"/>
        </w:rPr>
        <w:t>万亿</w:t>
      </w:r>
      <w:proofErr w:type="gramEnd"/>
      <w:r>
        <w:rPr>
          <w:rFonts w:hint="eastAsia"/>
          <w:sz w:val="24"/>
          <w:szCs w:val="24"/>
        </w:rPr>
        <w:t>美元，受到特朗普竞选利好消息推动，价格</w:t>
      </w:r>
      <w:r w:rsidR="008254B9" w:rsidRPr="000478CB">
        <w:rPr>
          <w:rFonts w:hint="eastAsia"/>
          <w:sz w:val="24"/>
          <w:szCs w:val="24"/>
        </w:rPr>
        <w:t>突破</w:t>
      </w:r>
      <w:r w:rsidR="008254B9" w:rsidRPr="000478CB">
        <w:rPr>
          <w:rFonts w:hint="eastAsia"/>
          <w:sz w:val="24"/>
          <w:szCs w:val="24"/>
        </w:rPr>
        <w:t>10</w:t>
      </w:r>
      <w:r w:rsidR="008254B9" w:rsidRPr="000478CB">
        <w:rPr>
          <w:rFonts w:hint="eastAsia"/>
          <w:sz w:val="24"/>
          <w:szCs w:val="24"/>
        </w:rPr>
        <w:t>万美元。</w:t>
      </w:r>
      <w:r w:rsidR="008254B9" w:rsidRPr="000478CB">
        <w:rPr>
          <w:rFonts w:hint="eastAsia"/>
          <w:sz w:val="24"/>
          <w:szCs w:val="24"/>
        </w:rPr>
        <w:t>2025</w:t>
      </w:r>
      <w:r w:rsidR="008254B9" w:rsidRPr="000478CB">
        <w:rPr>
          <w:rFonts w:hint="eastAsia"/>
          <w:sz w:val="24"/>
          <w:szCs w:val="24"/>
        </w:rPr>
        <w:t>年</w:t>
      </w:r>
      <w:r w:rsidR="008254B9" w:rsidRPr="000478CB">
        <w:rPr>
          <w:rFonts w:hint="eastAsia"/>
          <w:sz w:val="24"/>
          <w:szCs w:val="24"/>
        </w:rPr>
        <w:t>1</w:t>
      </w:r>
      <w:r w:rsidR="008254B9" w:rsidRPr="000478CB">
        <w:rPr>
          <w:rFonts w:hint="eastAsia"/>
          <w:sz w:val="24"/>
          <w:szCs w:val="24"/>
        </w:rPr>
        <w:t>月</w:t>
      </w:r>
      <w:r w:rsidR="008254B9" w:rsidRPr="000478CB">
        <w:rPr>
          <w:rFonts w:hint="eastAsia"/>
          <w:sz w:val="24"/>
          <w:szCs w:val="24"/>
        </w:rPr>
        <w:t>20</w:t>
      </w:r>
      <w:r w:rsidR="008254B9" w:rsidRPr="000478CB">
        <w:rPr>
          <w:rFonts w:hint="eastAsia"/>
          <w:sz w:val="24"/>
          <w:szCs w:val="24"/>
        </w:rPr>
        <w:t>日，比特币市值达到</w:t>
      </w:r>
      <w:r w:rsidR="008254B9" w:rsidRPr="000478CB">
        <w:rPr>
          <w:rFonts w:hint="eastAsia"/>
          <w:sz w:val="24"/>
          <w:szCs w:val="24"/>
        </w:rPr>
        <w:t>2.13</w:t>
      </w:r>
      <w:proofErr w:type="gramStart"/>
      <w:r w:rsidR="008254B9" w:rsidRPr="000478CB">
        <w:rPr>
          <w:rFonts w:hint="eastAsia"/>
          <w:sz w:val="24"/>
          <w:szCs w:val="24"/>
        </w:rPr>
        <w:t>万亿</w:t>
      </w:r>
      <w:proofErr w:type="gramEnd"/>
      <w:r w:rsidR="008254B9" w:rsidRPr="000478CB">
        <w:rPr>
          <w:rFonts w:hint="eastAsia"/>
          <w:sz w:val="24"/>
          <w:szCs w:val="24"/>
        </w:rPr>
        <w:t>美元（或</w:t>
      </w:r>
      <w:r w:rsidR="008254B9" w:rsidRPr="000478CB">
        <w:rPr>
          <w:rFonts w:hint="eastAsia"/>
          <w:sz w:val="24"/>
          <w:szCs w:val="24"/>
        </w:rPr>
        <w:t>15.34</w:t>
      </w:r>
      <w:proofErr w:type="gramStart"/>
      <w:r w:rsidR="008254B9" w:rsidRPr="000478CB">
        <w:rPr>
          <w:rFonts w:hint="eastAsia"/>
          <w:sz w:val="24"/>
          <w:szCs w:val="24"/>
        </w:rPr>
        <w:t>万亿</w:t>
      </w:r>
      <w:proofErr w:type="gramEnd"/>
      <w:r w:rsidR="008254B9" w:rsidRPr="000478CB">
        <w:rPr>
          <w:rFonts w:hint="eastAsia"/>
          <w:sz w:val="24"/>
          <w:szCs w:val="24"/>
        </w:rPr>
        <w:t>元</w:t>
      </w:r>
      <w:r w:rsidR="00B6283E" w:rsidRPr="001D6090">
        <w:rPr>
          <w:rFonts w:ascii="Times New Roman" w:hAnsi="Times New Roman" w:cs="Times New Roman"/>
          <w:sz w:val="24"/>
          <w:szCs w:val="24"/>
          <w:vertAlign w:val="superscript"/>
        </w:rPr>
        <w:footnoteReference w:id="16"/>
      </w:r>
      <w:r w:rsidR="008254B9" w:rsidRPr="000478CB">
        <w:rPr>
          <w:rFonts w:hint="eastAsia"/>
          <w:sz w:val="24"/>
          <w:szCs w:val="24"/>
        </w:rPr>
        <w:t>），</w:t>
      </w:r>
      <w:r w:rsidR="00DB3672" w:rsidRPr="000478CB">
        <w:rPr>
          <w:rFonts w:hint="eastAsia"/>
          <w:sz w:val="24"/>
          <w:szCs w:val="24"/>
        </w:rPr>
        <w:t>接近美国第五大上市公司亚马逊，</w:t>
      </w:r>
      <w:r w:rsidR="008254B9" w:rsidRPr="000478CB">
        <w:rPr>
          <w:rFonts w:hint="eastAsia"/>
          <w:sz w:val="24"/>
          <w:szCs w:val="24"/>
        </w:rPr>
        <w:t>其占全球前</w:t>
      </w:r>
      <w:r w:rsidR="008254B9" w:rsidRPr="000478CB">
        <w:rPr>
          <w:rFonts w:hint="eastAsia"/>
          <w:sz w:val="24"/>
          <w:szCs w:val="24"/>
        </w:rPr>
        <w:t>10</w:t>
      </w:r>
      <w:r w:rsidR="008254B9" w:rsidRPr="000478CB">
        <w:rPr>
          <w:rFonts w:hint="eastAsia"/>
          <w:sz w:val="24"/>
          <w:szCs w:val="24"/>
        </w:rPr>
        <w:t>大加密货币的</w:t>
      </w:r>
      <w:r w:rsidR="00894030">
        <w:rPr>
          <w:rFonts w:hint="eastAsia"/>
          <w:sz w:val="24"/>
          <w:szCs w:val="24"/>
        </w:rPr>
        <w:t>比重</w:t>
      </w:r>
      <w:r w:rsidR="008254B9" w:rsidRPr="000478CB">
        <w:rPr>
          <w:rFonts w:hint="eastAsia"/>
          <w:sz w:val="24"/>
          <w:szCs w:val="24"/>
        </w:rPr>
        <w:t>进一步提升至超过</w:t>
      </w:r>
      <w:r w:rsidR="008254B9" w:rsidRPr="000478CB">
        <w:rPr>
          <w:rFonts w:hint="eastAsia"/>
          <w:sz w:val="24"/>
          <w:szCs w:val="24"/>
        </w:rPr>
        <w:t>55%</w:t>
      </w:r>
      <w:r w:rsidR="008254B9" w:rsidRPr="000478CB">
        <w:rPr>
          <w:rFonts w:hint="eastAsia"/>
          <w:sz w:val="24"/>
          <w:szCs w:val="24"/>
        </w:rPr>
        <w:t>。</w:t>
      </w:r>
    </w:p>
    <w:p w14:paraId="55B50442" w14:textId="53EA3B2A" w:rsidR="008254B9" w:rsidRPr="00696A28" w:rsidRDefault="008254B9" w:rsidP="00AF0AF5">
      <w:pPr>
        <w:adjustRightInd w:val="0"/>
        <w:snapToGrid w:val="0"/>
        <w:spacing w:before="100" w:beforeAutospacing="1" w:after="100" w:afterAutospacing="1" w:line="360" w:lineRule="auto"/>
        <w:ind w:firstLineChars="200" w:firstLine="480"/>
        <w:contextualSpacing/>
        <w:jc w:val="center"/>
        <w:rPr>
          <w:sz w:val="24"/>
          <w:szCs w:val="24"/>
        </w:rPr>
      </w:pPr>
      <w:r w:rsidRPr="00696A28">
        <w:rPr>
          <w:sz w:val="24"/>
          <w:szCs w:val="24"/>
        </w:rPr>
        <w:t>表</w:t>
      </w:r>
      <w:r w:rsidR="004809E3">
        <w:rPr>
          <w:sz w:val="24"/>
          <w:szCs w:val="24"/>
        </w:rPr>
        <w:t>3</w:t>
      </w:r>
      <w:r w:rsidRPr="00696A28">
        <w:rPr>
          <w:rFonts w:hint="eastAsia"/>
          <w:sz w:val="24"/>
          <w:szCs w:val="24"/>
        </w:rPr>
        <w:t xml:space="preserve"> </w:t>
      </w:r>
      <w:r w:rsidRPr="00696A28">
        <w:rPr>
          <w:sz w:val="24"/>
          <w:szCs w:val="24"/>
        </w:rPr>
        <w:t>全球主要加密货币规模</w:t>
      </w:r>
    </w:p>
    <w:tbl>
      <w:tblPr>
        <w:tblStyle w:val="ad"/>
        <w:tblW w:w="5000" w:type="pct"/>
        <w:jc w:val="center"/>
        <w:tblBorders>
          <w:left w:val="none" w:sz="0" w:space="0" w:color="auto"/>
          <w:right w:val="none" w:sz="0" w:space="0" w:color="auto"/>
        </w:tblBorders>
        <w:tblLook w:val="04A0" w:firstRow="1" w:lastRow="0" w:firstColumn="1" w:lastColumn="0" w:noHBand="0" w:noVBand="1"/>
      </w:tblPr>
      <w:tblGrid>
        <w:gridCol w:w="1306"/>
        <w:gridCol w:w="3787"/>
        <w:gridCol w:w="3429"/>
      </w:tblGrid>
      <w:tr w:rsidR="008254B9" w:rsidRPr="00696A28" w14:paraId="30E723A7" w14:textId="77777777" w:rsidTr="00696A28">
        <w:trPr>
          <w:trHeight w:val="393"/>
          <w:jc w:val="center"/>
        </w:trPr>
        <w:tc>
          <w:tcPr>
            <w:tcW w:w="766" w:type="pct"/>
            <w:vAlign w:val="center"/>
          </w:tcPr>
          <w:p w14:paraId="1C714C0B" w14:textId="77777777" w:rsidR="008254B9" w:rsidRPr="00696A28" w:rsidRDefault="008254B9" w:rsidP="00AF0AF5">
            <w:pPr>
              <w:snapToGrid w:val="0"/>
              <w:spacing w:line="360" w:lineRule="auto"/>
              <w:jc w:val="center"/>
              <w:rPr>
                <w:rFonts w:ascii="Times New Roman" w:eastAsia="宋体" w:hAnsi="Times New Roman" w:cs="Times New Roman"/>
                <w:szCs w:val="21"/>
              </w:rPr>
            </w:pPr>
            <w:r w:rsidRPr="00696A28">
              <w:rPr>
                <w:rFonts w:ascii="Times New Roman" w:eastAsia="宋体" w:hAnsi="Times New Roman" w:cs="Times New Roman"/>
                <w:szCs w:val="21"/>
              </w:rPr>
              <w:t>排名</w:t>
            </w:r>
          </w:p>
        </w:tc>
        <w:tc>
          <w:tcPr>
            <w:tcW w:w="2222" w:type="pct"/>
            <w:vAlign w:val="center"/>
          </w:tcPr>
          <w:p w14:paraId="417F0355" w14:textId="77777777" w:rsidR="008254B9" w:rsidRPr="00696A28" w:rsidRDefault="008254B9" w:rsidP="00AF0AF5">
            <w:pPr>
              <w:snapToGrid w:val="0"/>
              <w:spacing w:line="360" w:lineRule="auto"/>
              <w:jc w:val="center"/>
              <w:rPr>
                <w:rFonts w:ascii="Times New Roman" w:eastAsia="宋体" w:hAnsi="Times New Roman" w:cs="Times New Roman"/>
                <w:szCs w:val="21"/>
              </w:rPr>
            </w:pPr>
            <w:r w:rsidRPr="00696A28">
              <w:rPr>
                <w:rFonts w:ascii="Times New Roman" w:eastAsia="宋体" w:hAnsi="Times New Roman" w:cs="Times New Roman"/>
                <w:szCs w:val="21"/>
              </w:rPr>
              <w:t>名称</w:t>
            </w:r>
          </w:p>
        </w:tc>
        <w:tc>
          <w:tcPr>
            <w:tcW w:w="2012" w:type="pct"/>
            <w:vAlign w:val="center"/>
          </w:tcPr>
          <w:p w14:paraId="40AFBCB4" w14:textId="77777777" w:rsidR="008254B9" w:rsidRPr="00696A28" w:rsidRDefault="008254B9" w:rsidP="00AF0AF5">
            <w:pPr>
              <w:snapToGrid w:val="0"/>
              <w:spacing w:line="360" w:lineRule="auto"/>
              <w:jc w:val="center"/>
              <w:rPr>
                <w:rFonts w:ascii="Times New Roman" w:eastAsia="宋体" w:hAnsi="Times New Roman" w:cs="Times New Roman"/>
                <w:szCs w:val="21"/>
              </w:rPr>
            </w:pPr>
            <w:r w:rsidRPr="00696A28">
              <w:rPr>
                <w:rFonts w:ascii="Times New Roman" w:eastAsia="宋体" w:hAnsi="Times New Roman" w:cs="Times New Roman"/>
                <w:szCs w:val="21"/>
              </w:rPr>
              <w:t>市值（亿美元）</w:t>
            </w:r>
          </w:p>
        </w:tc>
      </w:tr>
      <w:tr w:rsidR="008254B9" w:rsidRPr="00696A28" w14:paraId="1E872DA4" w14:textId="77777777" w:rsidTr="00696A28">
        <w:trPr>
          <w:trHeight w:val="492"/>
          <w:jc w:val="center"/>
        </w:trPr>
        <w:tc>
          <w:tcPr>
            <w:tcW w:w="766" w:type="pct"/>
            <w:vAlign w:val="center"/>
          </w:tcPr>
          <w:p w14:paraId="2E4F847A" w14:textId="77777777" w:rsidR="008254B9" w:rsidRPr="00696A28" w:rsidRDefault="008254B9" w:rsidP="00AF0AF5">
            <w:pPr>
              <w:snapToGrid w:val="0"/>
              <w:spacing w:line="360" w:lineRule="auto"/>
              <w:ind w:firstLine="420"/>
              <w:rPr>
                <w:rFonts w:ascii="Times New Roman" w:eastAsia="宋体" w:hAnsi="Times New Roman" w:cs="Times New Roman"/>
                <w:szCs w:val="21"/>
              </w:rPr>
            </w:pPr>
            <w:r w:rsidRPr="00696A28">
              <w:rPr>
                <w:rFonts w:ascii="Times New Roman" w:eastAsia="宋体" w:hAnsi="Times New Roman" w:cs="Times New Roman"/>
                <w:szCs w:val="21"/>
              </w:rPr>
              <w:t>1</w:t>
            </w:r>
          </w:p>
        </w:tc>
        <w:tc>
          <w:tcPr>
            <w:tcW w:w="2222" w:type="pct"/>
            <w:vAlign w:val="center"/>
          </w:tcPr>
          <w:p w14:paraId="3B9A08BF" w14:textId="77777777" w:rsidR="008254B9" w:rsidRPr="00696A28" w:rsidRDefault="008254B9" w:rsidP="00AF0AF5">
            <w:pPr>
              <w:snapToGrid w:val="0"/>
              <w:spacing w:line="360" w:lineRule="auto"/>
              <w:ind w:firstLine="420"/>
              <w:jc w:val="center"/>
              <w:rPr>
                <w:rFonts w:ascii="Times New Roman" w:eastAsia="宋体" w:hAnsi="Times New Roman" w:cs="Times New Roman"/>
                <w:szCs w:val="21"/>
              </w:rPr>
            </w:pPr>
            <w:r w:rsidRPr="00696A28">
              <w:rPr>
                <w:rFonts w:ascii="Times New Roman" w:eastAsia="宋体" w:hAnsi="Times New Roman" w:cs="Times New Roman"/>
                <w:szCs w:val="21"/>
              </w:rPr>
              <w:t>比特币（</w:t>
            </w:r>
            <w:r w:rsidRPr="00696A28">
              <w:rPr>
                <w:rFonts w:ascii="Times New Roman" w:eastAsia="宋体" w:hAnsi="Times New Roman" w:cs="Times New Roman"/>
                <w:szCs w:val="21"/>
              </w:rPr>
              <w:t>BTC</w:t>
            </w:r>
            <w:r w:rsidRPr="00696A28">
              <w:rPr>
                <w:rFonts w:ascii="Times New Roman" w:eastAsia="宋体" w:hAnsi="Times New Roman" w:cs="Times New Roman"/>
                <w:szCs w:val="21"/>
              </w:rPr>
              <w:t>）</w:t>
            </w:r>
          </w:p>
        </w:tc>
        <w:tc>
          <w:tcPr>
            <w:tcW w:w="2012" w:type="pct"/>
            <w:vAlign w:val="center"/>
          </w:tcPr>
          <w:p w14:paraId="1F4E6BB8" w14:textId="77777777" w:rsidR="008254B9" w:rsidRPr="00696A28" w:rsidRDefault="008254B9" w:rsidP="00AF0AF5">
            <w:pPr>
              <w:snapToGrid w:val="0"/>
              <w:spacing w:line="360" w:lineRule="auto"/>
              <w:ind w:firstLine="420"/>
              <w:jc w:val="center"/>
              <w:rPr>
                <w:rFonts w:ascii="Times New Roman" w:eastAsia="宋体" w:hAnsi="Times New Roman" w:cs="Times New Roman"/>
                <w:szCs w:val="21"/>
              </w:rPr>
            </w:pPr>
            <w:r w:rsidRPr="00696A28">
              <w:rPr>
                <w:rFonts w:ascii="Times New Roman" w:eastAsia="宋体" w:hAnsi="Times New Roman" w:cs="Times New Roman"/>
                <w:szCs w:val="21"/>
              </w:rPr>
              <w:t>21346.18</w:t>
            </w:r>
          </w:p>
        </w:tc>
      </w:tr>
      <w:tr w:rsidR="008254B9" w:rsidRPr="00696A28" w14:paraId="4FAB269A" w14:textId="77777777" w:rsidTr="00696A28">
        <w:trPr>
          <w:trHeight w:val="484"/>
          <w:jc w:val="center"/>
        </w:trPr>
        <w:tc>
          <w:tcPr>
            <w:tcW w:w="766" w:type="pct"/>
            <w:vAlign w:val="center"/>
          </w:tcPr>
          <w:p w14:paraId="42EE9E1B" w14:textId="77777777" w:rsidR="008254B9" w:rsidRPr="00696A28" w:rsidRDefault="008254B9" w:rsidP="00AF0AF5">
            <w:pPr>
              <w:snapToGrid w:val="0"/>
              <w:spacing w:line="360" w:lineRule="auto"/>
              <w:ind w:firstLine="420"/>
              <w:rPr>
                <w:rFonts w:ascii="Times New Roman" w:eastAsia="宋体" w:hAnsi="Times New Roman" w:cs="Times New Roman"/>
                <w:szCs w:val="21"/>
              </w:rPr>
            </w:pPr>
            <w:r w:rsidRPr="00696A28">
              <w:rPr>
                <w:rFonts w:ascii="Times New Roman" w:eastAsia="宋体" w:hAnsi="Times New Roman" w:cs="Times New Roman"/>
                <w:szCs w:val="21"/>
              </w:rPr>
              <w:t>2</w:t>
            </w:r>
          </w:p>
        </w:tc>
        <w:tc>
          <w:tcPr>
            <w:tcW w:w="2222" w:type="pct"/>
            <w:vAlign w:val="center"/>
          </w:tcPr>
          <w:p w14:paraId="57344E1F" w14:textId="77777777" w:rsidR="008254B9" w:rsidRPr="00696A28" w:rsidRDefault="008254B9" w:rsidP="00AF0AF5">
            <w:pPr>
              <w:snapToGrid w:val="0"/>
              <w:spacing w:line="360" w:lineRule="auto"/>
              <w:ind w:firstLine="420"/>
              <w:jc w:val="center"/>
              <w:rPr>
                <w:rFonts w:ascii="Times New Roman" w:eastAsia="宋体" w:hAnsi="Times New Roman" w:cs="Times New Roman"/>
                <w:szCs w:val="21"/>
              </w:rPr>
            </w:pPr>
            <w:r w:rsidRPr="00696A28">
              <w:rPr>
                <w:rFonts w:ascii="Times New Roman" w:eastAsia="宋体" w:hAnsi="Times New Roman" w:cs="Times New Roman"/>
                <w:szCs w:val="21"/>
              </w:rPr>
              <w:t>以太币（</w:t>
            </w:r>
            <w:r w:rsidRPr="00696A28">
              <w:rPr>
                <w:rFonts w:ascii="Times New Roman" w:eastAsia="宋体" w:hAnsi="Times New Roman" w:cs="Times New Roman"/>
                <w:szCs w:val="21"/>
              </w:rPr>
              <w:t>ETH</w:t>
            </w:r>
            <w:r w:rsidRPr="00696A28">
              <w:rPr>
                <w:rFonts w:ascii="Times New Roman" w:eastAsia="宋体" w:hAnsi="Times New Roman" w:cs="Times New Roman"/>
                <w:szCs w:val="21"/>
              </w:rPr>
              <w:t>）</w:t>
            </w:r>
          </w:p>
        </w:tc>
        <w:tc>
          <w:tcPr>
            <w:tcW w:w="2012" w:type="pct"/>
            <w:vAlign w:val="center"/>
          </w:tcPr>
          <w:p w14:paraId="0CA5CCB6" w14:textId="77777777" w:rsidR="008254B9" w:rsidRPr="00696A28" w:rsidRDefault="008254B9" w:rsidP="00AF0AF5">
            <w:pPr>
              <w:snapToGrid w:val="0"/>
              <w:spacing w:line="360" w:lineRule="auto"/>
              <w:ind w:firstLine="420"/>
              <w:jc w:val="center"/>
              <w:rPr>
                <w:rFonts w:ascii="Times New Roman" w:eastAsia="宋体" w:hAnsi="Times New Roman" w:cs="Times New Roman"/>
                <w:szCs w:val="21"/>
              </w:rPr>
            </w:pPr>
            <w:r w:rsidRPr="00696A28">
              <w:rPr>
                <w:rFonts w:ascii="Times New Roman" w:eastAsia="宋体" w:hAnsi="Times New Roman" w:cs="Times New Roman"/>
                <w:szCs w:val="21"/>
              </w:rPr>
              <w:t>4029.49</w:t>
            </w:r>
          </w:p>
        </w:tc>
      </w:tr>
      <w:tr w:rsidR="008254B9" w:rsidRPr="00696A28" w14:paraId="2050108E" w14:textId="77777777" w:rsidTr="00696A28">
        <w:trPr>
          <w:trHeight w:val="492"/>
          <w:jc w:val="center"/>
        </w:trPr>
        <w:tc>
          <w:tcPr>
            <w:tcW w:w="766" w:type="pct"/>
            <w:vAlign w:val="center"/>
          </w:tcPr>
          <w:p w14:paraId="73F4BC88" w14:textId="77777777" w:rsidR="008254B9" w:rsidRPr="00696A28" w:rsidRDefault="008254B9" w:rsidP="00AF0AF5">
            <w:pPr>
              <w:snapToGrid w:val="0"/>
              <w:spacing w:line="360" w:lineRule="auto"/>
              <w:ind w:firstLine="420"/>
              <w:rPr>
                <w:rFonts w:ascii="Times New Roman" w:eastAsia="宋体" w:hAnsi="Times New Roman" w:cs="Times New Roman"/>
                <w:szCs w:val="21"/>
              </w:rPr>
            </w:pPr>
            <w:r w:rsidRPr="00696A28">
              <w:rPr>
                <w:rFonts w:ascii="Times New Roman" w:eastAsia="宋体" w:hAnsi="Times New Roman" w:cs="Times New Roman"/>
                <w:szCs w:val="21"/>
              </w:rPr>
              <w:t>3</w:t>
            </w:r>
          </w:p>
        </w:tc>
        <w:tc>
          <w:tcPr>
            <w:tcW w:w="2222" w:type="pct"/>
            <w:vAlign w:val="center"/>
          </w:tcPr>
          <w:p w14:paraId="0EF19E67" w14:textId="77777777" w:rsidR="008254B9" w:rsidRPr="00696A28" w:rsidRDefault="008254B9" w:rsidP="00AF0AF5">
            <w:pPr>
              <w:snapToGrid w:val="0"/>
              <w:spacing w:line="360" w:lineRule="auto"/>
              <w:ind w:firstLine="420"/>
              <w:jc w:val="center"/>
              <w:rPr>
                <w:rFonts w:ascii="Times New Roman" w:eastAsia="宋体" w:hAnsi="Times New Roman" w:cs="Times New Roman"/>
                <w:szCs w:val="21"/>
              </w:rPr>
            </w:pPr>
            <w:r w:rsidRPr="00696A28">
              <w:rPr>
                <w:rFonts w:ascii="Times New Roman" w:eastAsia="宋体" w:hAnsi="Times New Roman" w:cs="Times New Roman"/>
                <w:szCs w:val="21"/>
              </w:rPr>
              <w:t>瑞波币（</w:t>
            </w:r>
            <w:r w:rsidRPr="00696A28">
              <w:rPr>
                <w:rFonts w:ascii="Times New Roman" w:eastAsia="宋体" w:hAnsi="Times New Roman" w:cs="Times New Roman"/>
                <w:szCs w:val="21"/>
              </w:rPr>
              <w:t>XRP</w:t>
            </w:r>
            <w:r w:rsidRPr="00696A28">
              <w:rPr>
                <w:rFonts w:ascii="Times New Roman" w:eastAsia="宋体" w:hAnsi="Times New Roman" w:cs="Times New Roman"/>
                <w:szCs w:val="21"/>
              </w:rPr>
              <w:t>）</w:t>
            </w:r>
          </w:p>
        </w:tc>
        <w:tc>
          <w:tcPr>
            <w:tcW w:w="2012" w:type="pct"/>
            <w:vAlign w:val="center"/>
          </w:tcPr>
          <w:p w14:paraId="66568598" w14:textId="77777777" w:rsidR="008254B9" w:rsidRPr="00696A28" w:rsidRDefault="008254B9" w:rsidP="00AF0AF5">
            <w:pPr>
              <w:snapToGrid w:val="0"/>
              <w:spacing w:line="360" w:lineRule="auto"/>
              <w:ind w:firstLine="420"/>
              <w:jc w:val="center"/>
              <w:rPr>
                <w:rFonts w:ascii="Times New Roman" w:eastAsia="宋体" w:hAnsi="Times New Roman" w:cs="Times New Roman"/>
                <w:szCs w:val="21"/>
              </w:rPr>
            </w:pPr>
            <w:r w:rsidRPr="00696A28">
              <w:rPr>
                <w:rFonts w:ascii="Times New Roman" w:eastAsia="宋体" w:hAnsi="Times New Roman" w:cs="Times New Roman"/>
                <w:szCs w:val="21"/>
              </w:rPr>
              <w:t>1894.62</w:t>
            </w:r>
          </w:p>
        </w:tc>
      </w:tr>
      <w:tr w:rsidR="008254B9" w:rsidRPr="00696A28" w14:paraId="67135D33" w14:textId="77777777" w:rsidTr="00696A28">
        <w:trPr>
          <w:trHeight w:val="492"/>
          <w:jc w:val="center"/>
        </w:trPr>
        <w:tc>
          <w:tcPr>
            <w:tcW w:w="766" w:type="pct"/>
            <w:vAlign w:val="center"/>
          </w:tcPr>
          <w:p w14:paraId="3A97E67C" w14:textId="77777777" w:rsidR="008254B9" w:rsidRPr="00696A28" w:rsidRDefault="008254B9" w:rsidP="00AF0AF5">
            <w:pPr>
              <w:snapToGrid w:val="0"/>
              <w:spacing w:line="360" w:lineRule="auto"/>
              <w:ind w:firstLine="420"/>
              <w:rPr>
                <w:rFonts w:ascii="Times New Roman" w:eastAsia="宋体" w:hAnsi="Times New Roman" w:cs="Times New Roman"/>
                <w:szCs w:val="21"/>
              </w:rPr>
            </w:pPr>
            <w:r w:rsidRPr="00696A28">
              <w:rPr>
                <w:rFonts w:ascii="Times New Roman" w:eastAsia="宋体" w:hAnsi="Times New Roman" w:cs="Times New Roman"/>
                <w:szCs w:val="21"/>
              </w:rPr>
              <w:t>4</w:t>
            </w:r>
          </w:p>
        </w:tc>
        <w:tc>
          <w:tcPr>
            <w:tcW w:w="2222" w:type="pct"/>
            <w:vAlign w:val="center"/>
          </w:tcPr>
          <w:p w14:paraId="70720726" w14:textId="77777777" w:rsidR="008254B9" w:rsidRPr="00696A28" w:rsidRDefault="008254B9" w:rsidP="00AF0AF5">
            <w:pPr>
              <w:snapToGrid w:val="0"/>
              <w:spacing w:line="360" w:lineRule="auto"/>
              <w:ind w:firstLine="420"/>
              <w:jc w:val="center"/>
              <w:rPr>
                <w:rFonts w:ascii="Times New Roman" w:eastAsia="宋体" w:hAnsi="Times New Roman" w:cs="Times New Roman"/>
                <w:szCs w:val="21"/>
              </w:rPr>
            </w:pPr>
            <w:r w:rsidRPr="00696A28">
              <w:rPr>
                <w:rFonts w:ascii="Times New Roman" w:eastAsia="宋体" w:hAnsi="Times New Roman" w:cs="Times New Roman"/>
                <w:szCs w:val="21"/>
              </w:rPr>
              <w:t>泰达币（</w:t>
            </w:r>
            <w:r w:rsidRPr="00696A28">
              <w:rPr>
                <w:rFonts w:ascii="Times New Roman" w:eastAsia="宋体" w:hAnsi="Times New Roman" w:cs="Times New Roman"/>
                <w:szCs w:val="21"/>
              </w:rPr>
              <w:t>USDT</w:t>
            </w:r>
            <w:r w:rsidRPr="00696A28">
              <w:rPr>
                <w:rFonts w:ascii="Times New Roman" w:eastAsia="宋体" w:hAnsi="Times New Roman" w:cs="Times New Roman"/>
                <w:szCs w:val="21"/>
              </w:rPr>
              <w:t>）</w:t>
            </w:r>
          </w:p>
        </w:tc>
        <w:tc>
          <w:tcPr>
            <w:tcW w:w="2012" w:type="pct"/>
            <w:vAlign w:val="center"/>
          </w:tcPr>
          <w:p w14:paraId="6189306B" w14:textId="77777777" w:rsidR="008254B9" w:rsidRPr="00696A28" w:rsidRDefault="008254B9" w:rsidP="00AF0AF5">
            <w:pPr>
              <w:snapToGrid w:val="0"/>
              <w:spacing w:line="360" w:lineRule="auto"/>
              <w:ind w:firstLine="420"/>
              <w:jc w:val="center"/>
              <w:rPr>
                <w:rFonts w:ascii="Times New Roman" w:eastAsia="宋体" w:hAnsi="Times New Roman" w:cs="Times New Roman"/>
                <w:szCs w:val="21"/>
              </w:rPr>
            </w:pPr>
            <w:r w:rsidRPr="00696A28">
              <w:rPr>
                <w:rFonts w:ascii="Times New Roman" w:eastAsia="宋体" w:hAnsi="Times New Roman" w:cs="Times New Roman"/>
                <w:szCs w:val="21"/>
              </w:rPr>
              <w:t>1381.53</w:t>
            </w:r>
          </w:p>
        </w:tc>
      </w:tr>
      <w:tr w:rsidR="008254B9" w:rsidRPr="00696A28" w14:paraId="6F1AB6D0" w14:textId="77777777" w:rsidTr="00696A28">
        <w:trPr>
          <w:trHeight w:val="492"/>
          <w:jc w:val="center"/>
        </w:trPr>
        <w:tc>
          <w:tcPr>
            <w:tcW w:w="766" w:type="pct"/>
            <w:vAlign w:val="center"/>
          </w:tcPr>
          <w:p w14:paraId="6CEB4FAE" w14:textId="77777777" w:rsidR="008254B9" w:rsidRPr="00696A28" w:rsidRDefault="008254B9" w:rsidP="00AF0AF5">
            <w:pPr>
              <w:snapToGrid w:val="0"/>
              <w:spacing w:line="360" w:lineRule="auto"/>
              <w:ind w:firstLine="420"/>
              <w:rPr>
                <w:rFonts w:ascii="Times New Roman" w:eastAsia="宋体" w:hAnsi="Times New Roman" w:cs="Times New Roman"/>
                <w:szCs w:val="21"/>
              </w:rPr>
            </w:pPr>
            <w:r w:rsidRPr="00696A28">
              <w:rPr>
                <w:rFonts w:ascii="Times New Roman" w:eastAsia="宋体" w:hAnsi="Times New Roman" w:cs="Times New Roman"/>
                <w:szCs w:val="21"/>
              </w:rPr>
              <w:t>5</w:t>
            </w:r>
          </w:p>
        </w:tc>
        <w:tc>
          <w:tcPr>
            <w:tcW w:w="2222" w:type="pct"/>
            <w:vAlign w:val="center"/>
          </w:tcPr>
          <w:p w14:paraId="1A5CC478" w14:textId="77777777" w:rsidR="008254B9" w:rsidRPr="00696A28" w:rsidRDefault="008254B9" w:rsidP="00AF0AF5">
            <w:pPr>
              <w:snapToGrid w:val="0"/>
              <w:spacing w:line="360" w:lineRule="auto"/>
              <w:ind w:firstLine="420"/>
              <w:jc w:val="center"/>
              <w:rPr>
                <w:rFonts w:ascii="Times New Roman" w:eastAsia="宋体" w:hAnsi="Times New Roman" w:cs="Times New Roman"/>
                <w:szCs w:val="21"/>
              </w:rPr>
            </w:pPr>
            <w:r w:rsidRPr="00696A28">
              <w:rPr>
                <w:rFonts w:ascii="Times New Roman" w:eastAsia="宋体" w:hAnsi="Times New Roman" w:cs="Times New Roman"/>
                <w:szCs w:val="21"/>
              </w:rPr>
              <w:t>Solana</w:t>
            </w:r>
            <w:r w:rsidRPr="00696A28">
              <w:rPr>
                <w:rFonts w:ascii="Times New Roman" w:eastAsia="宋体" w:hAnsi="Times New Roman" w:cs="Times New Roman"/>
                <w:szCs w:val="21"/>
              </w:rPr>
              <w:t>（</w:t>
            </w:r>
            <w:r w:rsidRPr="00696A28">
              <w:rPr>
                <w:rFonts w:ascii="Times New Roman" w:eastAsia="宋体" w:hAnsi="Times New Roman" w:cs="Times New Roman"/>
                <w:szCs w:val="21"/>
              </w:rPr>
              <w:t>SOL</w:t>
            </w:r>
            <w:r w:rsidRPr="00696A28">
              <w:rPr>
                <w:rFonts w:ascii="Times New Roman" w:eastAsia="宋体" w:hAnsi="Times New Roman" w:cs="Times New Roman"/>
                <w:szCs w:val="21"/>
              </w:rPr>
              <w:t>）</w:t>
            </w:r>
          </w:p>
        </w:tc>
        <w:tc>
          <w:tcPr>
            <w:tcW w:w="2012" w:type="pct"/>
            <w:vAlign w:val="center"/>
          </w:tcPr>
          <w:p w14:paraId="73E9E59D" w14:textId="77777777" w:rsidR="008254B9" w:rsidRPr="00696A28" w:rsidRDefault="008254B9" w:rsidP="00AF0AF5">
            <w:pPr>
              <w:snapToGrid w:val="0"/>
              <w:spacing w:line="360" w:lineRule="auto"/>
              <w:ind w:firstLine="420"/>
              <w:jc w:val="center"/>
              <w:rPr>
                <w:rFonts w:ascii="Times New Roman" w:eastAsia="宋体" w:hAnsi="Times New Roman" w:cs="Times New Roman"/>
                <w:szCs w:val="21"/>
              </w:rPr>
            </w:pPr>
            <w:r w:rsidRPr="00696A28">
              <w:rPr>
                <w:rFonts w:ascii="Times New Roman" w:eastAsia="宋体" w:hAnsi="Times New Roman" w:cs="Times New Roman"/>
                <w:szCs w:val="21"/>
              </w:rPr>
              <w:t>1239.24</w:t>
            </w:r>
          </w:p>
        </w:tc>
      </w:tr>
      <w:tr w:rsidR="008254B9" w:rsidRPr="00696A28" w14:paraId="63BE913F" w14:textId="77777777" w:rsidTr="00696A28">
        <w:trPr>
          <w:trHeight w:val="492"/>
          <w:jc w:val="center"/>
        </w:trPr>
        <w:tc>
          <w:tcPr>
            <w:tcW w:w="766" w:type="pct"/>
            <w:vAlign w:val="center"/>
          </w:tcPr>
          <w:p w14:paraId="6EE43049" w14:textId="77777777" w:rsidR="008254B9" w:rsidRPr="00696A28" w:rsidRDefault="008254B9" w:rsidP="00AF0AF5">
            <w:pPr>
              <w:snapToGrid w:val="0"/>
              <w:spacing w:line="360" w:lineRule="auto"/>
              <w:ind w:firstLine="420"/>
              <w:rPr>
                <w:rFonts w:ascii="Times New Roman" w:eastAsia="宋体" w:hAnsi="Times New Roman" w:cs="Times New Roman"/>
                <w:szCs w:val="21"/>
              </w:rPr>
            </w:pPr>
            <w:r w:rsidRPr="00696A28">
              <w:rPr>
                <w:rFonts w:ascii="Times New Roman" w:eastAsia="宋体" w:hAnsi="Times New Roman" w:cs="Times New Roman"/>
                <w:szCs w:val="21"/>
              </w:rPr>
              <w:t>6</w:t>
            </w:r>
          </w:p>
        </w:tc>
        <w:tc>
          <w:tcPr>
            <w:tcW w:w="2222" w:type="pct"/>
            <w:vAlign w:val="center"/>
          </w:tcPr>
          <w:p w14:paraId="431D61EC" w14:textId="77777777" w:rsidR="008254B9" w:rsidRPr="00696A28" w:rsidRDefault="008254B9" w:rsidP="00AF0AF5">
            <w:pPr>
              <w:snapToGrid w:val="0"/>
              <w:spacing w:line="360" w:lineRule="auto"/>
              <w:ind w:firstLine="420"/>
              <w:jc w:val="center"/>
              <w:rPr>
                <w:rFonts w:ascii="Times New Roman" w:eastAsia="宋体" w:hAnsi="Times New Roman" w:cs="Times New Roman"/>
                <w:szCs w:val="21"/>
              </w:rPr>
            </w:pPr>
            <w:proofErr w:type="gramStart"/>
            <w:r w:rsidRPr="00696A28">
              <w:rPr>
                <w:rFonts w:ascii="Times New Roman" w:eastAsia="宋体" w:hAnsi="Times New Roman" w:cs="Times New Roman"/>
                <w:szCs w:val="21"/>
              </w:rPr>
              <w:t>币安币</w:t>
            </w:r>
            <w:proofErr w:type="gramEnd"/>
            <w:r w:rsidRPr="00696A28">
              <w:rPr>
                <w:rFonts w:ascii="Times New Roman" w:eastAsia="宋体" w:hAnsi="Times New Roman" w:cs="Times New Roman"/>
                <w:szCs w:val="21"/>
              </w:rPr>
              <w:t>（</w:t>
            </w:r>
            <w:r w:rsidRPr="00696A28">
              <w:rPr>
                <w:rFonts w:ascii="Times New Roman" w:eastAsia="宋体" w:hAnsi="Times New Roman" w:cs="Times New Roman"/>
                <w:szCs w:val="21"/>
              </w:rPr>
              <w:t>BNB</w:t>
            </w:r>
            <w:r w:rsidRPr="00696A28">
              <w:rPr>
                <w:rFonts w:ascii="Times New Roman" w:eastAsia="宋体" w:hAnsi="Times New Roman" w:cs="Times New Roman"/>
                <w:szCs w:val="21"/>
              </w:rPr>
              <w:t>）</w:t>
            </w:r>
          </w:p>
        </w:tc>
        <w:tc>
          <w:tcPr>
            <w:tcW w:w="2012" w:type="pct"/>
            <w:vAlign w:val="center"/>
          </w:tcPr>
          <w:p w14:paraId="594268E2" w14:textId="77777777" w:rsidR="008254B9" w:rsidRPr="00696A28" w:rsidRDefault="008254B9" w:rsidP="00AF0AF5">
            <w:pPr>
              <w:snapToGrid w:val="0"/>
              <w:spacing w:line="360" w:lineRule="auto"/>
              <w:ind w:firstLine="420"/>
              <w:jc w:val="center"/>
              <w:rPr>
                <w:rFonts w:ascii="Times New Roman" w:eastAsia="宋体" w:hAnsi="Times New Roman" w:cs="Times New Roman"/>
                <w:szCs w:val="21"/>
              </w:rPr>
            </w:pPr>
            <w:r w:rsidRPr="00696A28">
              <w:rPr>
                <w:rFonts w:ascii="Times New Roman" w:eastAsia="宋体" w:hAnsi="Times New Roman" w:cs="Times New Roman"/>
                <w:szCs w:val="21"/>
              </w:rPr>
              <w:t>999.22</w:t>
            </w:r>
          </w:p>
        </w:tc>
      </w:tr>
      <w:tr w:rsidR="008254B9" w:rsidRPr="00696A28" w14:paraId="3E170FC4" w14:textId="77777777" w:rsidTr="00696A28">
        <w:trPr>
          <w:trHeight w:val="492"/>
          <w:jc w:val="center"/>
        </w:trPr>
        <w:tc>
          <w:tcPr>
            <w:tcW w:w="766" w:type="pct"/>
            <w:vAlign w:val="center"/>
          </w:tcPr>
          <w:p w14:paraId="20D7145A" w14:textId="77777777" w:rsidR="008254B9" w:rsidRPr="00696A28" w:rsidRDefault="008254B9" w:rsidP="00AF0AF5">
            <w:pPr>
              <w:snapToGrid w:val="0"/>
              <w:spacing w:line="360" w:lineRule="auto"/>
              <w:ind w:firstLine="420"/>
              <w:rPr>
                <w:rFonts w:ascii="Times New Roman" w:eastAsia="宋体" w:hAnsi="Times New Roman" w:cs="Times New Roman"/>
                <w:szCs w:val="21"/>
              </w:rPr>
            </w:pPr>
            <w:r w:rsidRPr="00696A28">
              <w:rPr>
                <w:rFonts w:ascii="Times New Roman" w:eastAsia="宋体" w:hAnsi="Times New Roman" w:cs="Times New Roman"/>
                <w:szCs w:val="21"/>
              </w:rPr>
              <w:t>7</w:t>
            </w:r>
          </w:p>
        </w:tc>
        <w:tc>
          <w:tcPr>
            <w:tcW w:w="2222" w:type="pct"/>
            <w:vAlign w:val="center"/>
          </w:tcPr>
          <w:p w14:paraId="76347AD6" w14:textId="77777777" w:rsidR="008254B9" w:rsidRPr="00696A28" w:rsidRDefault="008254B9" w:rsidP="00AF0AF5">
            <w:pPr>
              <w:snapToGrid w:val="0"/>
              <w:spacing w:line="360" w:lineRule="auto"/>
              <w:ind w:firstLine="420"/>
              <w:jc w:val="center"/>
              <w:rPr>
                <w:rFonts w:ascii="Times New Roman" w:eastAsia="宋体" w:hAnsi="Times New Roman" w:cs="Times New Roman"/>
                <w:szCs w:val="21"/>
              </w:rPr>
            </w:pPr>
            <w:r w:rsidRPr="00696A28">
              <w:rPr>
                <w:rFonts w:ascii="Times New Roman" w:eastAsia="宋体" w:hAnsi="Times New Roman" w:cs="Times New Roman"/>
                <w:szCs w:val="21"/>
              </w:rPr>
              <w:t>狗</w:t>
            </w:r>
            <w:proofErr w:type="gramStart"/>
            <w:r w:rsidRPr="00696A28">
              <w:rPr>
                <w:rFonts w:ascii="Times New Roman" w:eastAsia="宋体" w:hAnsi="Times New Roman" w:cs="Times New Roman"/>
                <w:szCs w:val="21"/>
              </w:rPr>
              <w:t>狗</w:t>
            </w:r>
            <w:proofErr w:type="gramEnd"/>
            <w:r w:rsidRPr="00696A28">
              <w:rPr>
                <w:rFonts w:ascii="Times New Roman" w:eastAsia="宋体" w:hAnsi="Times New Roman" w:cs="Times New Roman"/>
                <w:szCs w:val="21"/>
              </w:rPr>
              <w:t>币（</w:t>
            </w:r>
            <w:r w:rsidRPr="00696A28">
              <w:rPr>
                <w:rFonts w:ascii="Times New Roman" w:eastAsia="宋体" w:hAnsi="Times New Roman" w:cs="Times New Roman"/>
                <w:szCs w:val="21"/>
              </w:rPr>
              <w:t>DOGE</w:t>
            </w:r>
            <w:r w:rsidRPr="00696A28">
              <w:rPr>
                <w:rFonts w:ascii="Times New Roman" w:eastAsia="宋体" w:hAnsi="Times New Roman" w:cs="Times New Roman"/>
                <w:szCs w:val="21"/>
              </w:rPr>
              <w:t>）</w:t>
            </w:r>
          </w:p>
        </w:tc>
        <w:tc>
          <w:tcPr>
            <w:tcW w:w="2012" w:type="pct"/>
            <w:vAlign w:val="center"/>
          </w:tcPr>
          <w:p w14:paraId="56596225" w14:textId="77777777" w:rsidR="008254B9" w:rsidRPr="00696A28" w:rsidRDefault="008254B9" w:rsidP="00AF0AF5">
            <w:pPr>
              <w:snapToGrid w:val="0"/>
              <w:spacing w:line="360" w:lineRule="auto"/>
              <w:ind w:firstLine="420"/>
              <w:jc w:val="center"/>
              <w:rPr>
                <w:rFonts w:ascii="Times New Roman" w:eastAsia="宋体" w:hAnsi="Times New Roman" w:cs="Times New Roman"/>
                <w:szCs w:val="21"/>
              </w:rPr>
            </w:pPr>
            <w:r w:rsidRPr="00696A28">
              <w:rPr>
                <w:rFonts w:ascii="Times New Roman" w:eastAsia="宋体" w:hAnsi="Times New Roman" w:cs="Times New Roman"/>
                <w:szCs w:val="21"/>
              </w:rPr>
              <w:t>557.00</w:t>
            </w:r>
          </w:p>
        </w:tc>
      </w:tr>
      <w:tr w:rsidR="008254B9" w:rsidRPr="00696A28" w14:paraId="1109C5A9" w14:textId="77777777" w:rsidTr="00696A28">
        <w:trPr>
          <w:trHeight w:val="492"/>
          <w:jc w:val="center"/>
        </w:trPr>
        <w:tc>
          <w:tcPr>
            <w:tcW w:w="766" w:type="pct"/>
            <w:vAlign w:val="center"/>
          </w:tcPr>
          <w:p w14:paraId="15C4A261" w14:textId="77777777" w:rsidR="008254B9" w:rsidRPr="00696A28" w:rsidRDefault="008254B9" w:rsidP="00AF0AF5">
            <w:pPr>
              <w:snapToGrid w:val="0"/>
              <w:spacing w:line="360" w:lineRule="auto"/>
              <w:ind w:firstLine="420"/>
              <w:rPr>
                <w:rFonts w:ascii="Times New Roman" w:eastAsia="宋体" w:hAnsi="Times New Roman" w:cs="Times New Roman"/>
                <w:szCs w:val="21"/>
              </w:rPr>
            </w:pPr>
            <w:r w:rsidRPr="00696A28">
              <w:rPr>
                <w:rFonts w:ascii="Times New Roman" w:eastAsia="宋体" w:hAnsi="Times New Roman" w:cs="Times New Roman"/>
                <w:szCs w:val="21"/>
              </w:rPr>
              <w:lastRenderedPageBreak/>
              <w:t>8</w:t>
            </w:r>
          </w:p>
        </w:tc>
        <w:tc>
          <w:tcPr>
            <w:tcW w:w="2222" w:type="pct"/>
            <w:vAlign w:val="center"/>
          </w:tcPr>
          <w:p w14:paraId="3396245A" w14:textId="77777777" w:rsidR="008254B9" w:rsidRPr="00696A28" w:rsidRDefault="008254B9" w:rsidP="00AF0AF5">
            <w:pPr>
              <w:snapToGrid w:val="0"/>
              <w:spacing w:line="360" w:lineRule="auto"/>
              <w:ind w:firstLine="420"/>
              <w:jc w:val="center"/>
              <w:rPr>
                <w:rFonts w:ascii="Times New Roman" w:eastAsia="宋体" w:hAnsi="Times New Roman" w:cs="Times New Roman"/>
                <w:szCs w:val="21"/>
              </w:rPr>
            </w:pPr>
            <w:r w:rsidRPr="00696A28">
              <w:rPr>
                <w:rFonts w:ascii="Times New Roman" w:eastAsia="宋体" w:hAnsi="Times New Roman" w:cs="Times New Roman"/>
                <w:szCs w:val="21"/>
              </w:rPr>
              <w:t>美元币（</w:t>
            </w:r>
            <w:r w:rsidRPr="00696A28">
              <w:rPr>
                <w:rFonts w:ascii="Times New Roman" w:eastAsia="宋体" w:hAnsi="Times New Roman" w:cs="Times New Roman"/>
                <w:szCs w:val="21"/>
              </w:rPr>
              <w:t>USDC</w:t>
            </w:r>
            <w:r w:rsidRPr="00696A28">
              <w:rPr>
                <w:rFonts w:ascii="Times New Roman" w:eastAsia="宋体" w:hAnsi="Times New Roman" w:cs="Times New Roman"/>
                <w:szCs w:val="21"/>
              </w:rPr>
              <w:t>）</w:t>
            </w:r>
          </w:p>
        </w:tc>
        <w:tc>
          <w:tcPr>
            <w:tcW w:w="2012" w:type="pct"/>
            <w:vAlign w:val="center"/>
          </w:tcPr>
          <w:p w14:paraId="21FD649E" w14:textId="77777777" w:rsidR="008254B9" w:rsidRPr="00696A28" w:rsidRDefault="008254B9" w:rsidP="00AF0AF5">
            <w:pPr>
              <w:snapToGrid w:val="0"/>
              <w:spacing w:line="360" w:lineRule="auto"/>
              <w:ind w:firstLine="420"/>
              <w:jc w:val="center"/>
              <w:rPr>
                <w:rFonts w:ascii="Times New Roman" w:eastAsia="宋体" w:hAnsi="Times New Roman" w:cs="Times New Roman"/>
                <w:szCs w:val="21"/>
              </w:rPr>
            </w:pPr>
            <w:r w:rsidRPr="00696A28">
              <w:rPr>
                <w:rFonts w:ascii="Times New Roman" w:eastAsia="宋体" w:hAnsi="Times New Roman" w:cs="Times New Roman"/>
                <w:szCs w:val="21"/>
              </w:rPr>
              <w:t>480.40</w:t>
            </w:r>
          </w:p>
        </w:tc>
      </w:tr>
      <w:tr w:rsidR="008254B9" w:rsidRPr="00696A28" w14:paraId="49C38C3A" w14:textId="77777777" w:rsidTr="00696A28">
        <w:trPr>
          <w:trHeight w:val="492"/>
          <w:jc w:val="center"/>
        </w:trPr>
        <w:tc>
          <w:tcPr>
            <w:tcW w:w="766" w:type="pct"/>
            <w:vAlign w:val="center"/>
          </w:tcPr>
          <w:p w14:paraId="3EF0AA14" w14:textId="77777777" w:rsidR="008254B9" w:rsidRPr="00696A28" w:rsidRDefault="008254B9" w:rsidP="00AF0AF5">
            <w:pPr>
              <w:snapToGrid w:val="0"/>
              <w:spacing w:line="360" w:lineRule="auto"/>
              <w:ind w:firstLine="420"/>
              <w:rPr>
                <w:rFonts w:ascii="Times New Roman" w:eastAsia="宋体" w:hAnsi="Times New Roman" w:cs="Times New Roman"/>
                <w:szCs w:val="21"/>
              </w:rPr>
            </w:pPr>
            <w:r w:rsidRPr="00696A28">
              <w:rPr>
                <w:rFonts w:ascii="Times New Roman" w:eastAsia="宋体" w:hAnsi="Times New Roman" w:cs="Times New Roman"/>
                <w:szCs w:val="21"/>
              </w:rPr>
              <w:t>9</w:t>
            </w:r>
          </w:p>
        </w:tc>
        <w:tc>
          <w:tcPr>
            <w:tcW w:w="2222" w:type="pct"/>
            <w:vAlign w:val="center"/>
          </w:tcPr>
          <w:p w14:paraId="31B99842" w14:textId="77777777" w:rsidR="008254B9" w:rsidRPr="00696A28" w:rsidRDefault="008254B9" w:rsidP="00AF0AF5">
            <w:pPr>
              <w:snapToGrid w:val="0"/>
              <w:spacing w:line="360" w:lineRule="auto"/>
              <w:ind w:firstLine="420"/>
              <w:jc w:val="center"/>
              <w:rPr>
                <w:rFonts w:ascii="Times New Roman" w:eastAsia="宋体" w:hAnsi="Times New Roman" w:cs="Times New Roman"/>
                <w:szCs w:val="21"/>
              </w:rPr>
            </w:pPr>
            <w:proofErr w:type="gramStart"/>
            <w:r w:rsidRPr="00696A28">
              <w:rPr>
                <w:rFonts w:ascii="Times New Roman" w:eastAsia="宋体" w:hAnsi="Times New Roman" w:cs="Times New Roman"/>
                <w:szCs w:val="21"/>
              </w:rPr>
              <w:t>艾达币</w:t>
            </w:r>
            <w:proofErr w:type="gramEnd"/>
            <w:r w:rsidRPr="00696A28">
              <w:rPr>
                <w:rFonts w:ascii="Times New Roman" w:eastAsia="宋体" w:hAnsi="Times New Roman" w:cs="Times New Roman"/>
                <w:szCs w:val="21"/>
              </w:rPr>
              <w:t>（</w:t>
            </w:r>
            <w:r w:rsidRPr="00696A28">
              <w:rPr>
                <w:rFonts w:ascii="Times New Roman" w:eastAsia="宋体" w:hAnsi="Times New Roman" w:cs="Times New Roman"/>
                <w:szCs w:val="21"/>
              </w:rPr>
              <w:t>ADA</w:t>
            </w:r>
            <w:r w:rsidRPr="00696A28">
              <w:rPr>
                <w:rFonts w:ascii="Times New Roman" w:eastAsia="宋体" w:hAnsi="Times New Roman" w:cs="Times New Roman"/>
                <w:szCs w:val="21"/>
              </w:rPr>
              <w:t>）</w:t>
            </w:r>
          </w:p>
        </w:tc>
        <w:tc>
          <w:tcPr>
            <w:tcW w:w="2012" w:type="pct"/>
            <w:vAlign w:val="center"/>
          </w:tcPr>
          <w:p w14:paraId="3812F165" w14:textId="77777777" w:rsidR="008254B9" w:rsidRPr="00696A28" w:rsidRDefault="008254B9" w:rsidP="00AF0AF5">
            <w:pPr>
              <w:snapToGrid w:val="0"/>
              <w:spacing w:line="360" w:lineRule="auto"/>
              <w:ind w:firstLine="420"/>
              <w:jc w:val="center"/>
              <w:rPr>
                <w:rFonts w:ascii="Times New Roman" w:eastAsia="宋体" w:hAnsi="Times New Roman" w:cs="Times New Roman"/>
                <w:szCs w:val="21"/>
              </w:rPr>
            </w:pPr>
            <w:r w:rsidRPr="00696A28">
              <w:rPr>
                <w:rFonts w:ascii="Times New Roman" w:eastAsia="宋体" w:hAnsi="Times New Roman" w:cs="Times New Roman"/>
                <w:szCs w:val="21"/>
              </w:rPr>
              <w:t>377.41</w:t>
            </w:r>
          </w:p>
        </w:tc>
      </w:tr>
      <w:tr w:rsidR="008254B9" w:rsidRPr="00696A28" w14:paraId="28EE77E3" w14:textId="77777777" w:rsidTr="00696A28">
        <w:trPr>
          <w:trHeight w:val="492"/>
          <w:jc w:val="center"/>
        </w:trPr>
        <w:tc>
          <w:tcPr>
            <w:tcW w:w="766" w:type="pct"/>
            <w:vAlign w:val="center"/>
          </w:tcPr>
          <w:p w14:paraId="6DE7736B" w14:textId="77777777" w:rsidR="008254B9" w:rsidRPr="00696A28" w:rsidRDefault="008254B9" w:rsidP="00AF0AF5">
            <w:pPr>
              <w:snapToGrid w:val="0"/>
              <w:spacing w:line="360" w:lineRule="auto"/>
              <w:ind w:firstLine="420"/>
              <w:rPr>
                <w:rFonts w:ascii="Times New Roman" w:eastAsia="宋体" w:hAnsi="Times New Roman" w:cs="Times New Roman"/>
                <w:szCs w:val="21"/>
              </w:rPr>
            </w:pPr>
            <w:r w:rsidRPr="00696A28">
              <w:rPr>
                <w:rFonts w:ascii="Times New Roman" w:eastAsia="宋体" w:hAnsi="Times New Roman" w:cs="Times New Roman"/>
                <w:szCs w:val="21"/>
              </w:rPr>
              <w:t>10</w:t>
            </w:r>
          </w:p>
        </w:tc>
        <w:tc>
          <w:tcPr>
            <w:tcW w:w="2222" w:type="pct"/>
            <w:vAlign w:val="center"/>
          </w:tcPr>
          <w:p w14:paraId="6343D4B8" w14:textId="77777777" w:rsidR="008254B9" w:rsidRPr="00696A28" w:rsidRDefault="008254B9" w:rsidP="00AF0AF5">
            <w:pPr>
              <w:snapToGrid w:val="0"/>
              <w:spacing w:line="360" w:lineRule="auto"/>
              <w:ind w:firstLine="420"/>
              <w:jc w:val="center"/>
              <w:rPr>
                <w:rFonts w:ascii="Times New Roman" w:eastAsia="宋体" w:hAnsi="Times New Roman" w:cs="Times New Roman"/>
                <w:szCs w:val="21"/>
              </w:rPr>
            </w:pPr>
            <w:proofErr w:type="gramStart"/>
            <w:r w:rsidRPr="00696A28">
              <w:rPr>
                <w:rFonts w:ascii="Times New Roman" w:eastAsia="宋体" w:hAnsi="Times New Roman" w:cs="Times New Roman"/>
                <w:szCs w:val="21"/>
              </w:rPr>
              <w:t>波场币</w:t>
            </w:r>
            <w:proofErr w:type="gramEnd"/>
            <w:r w:rsidRPr="00696A28">
              <w:rPr>
                <w:rFonts w:ascii="Times New Roman" w:eastAsia="宋体" w:hAnsi="Times New Roman" w:cs="Times New Roman"/>
                <w:szCs w:val="21"/>
              </w:rPr>
              <w:t>（</w:t>
            </w:r>
            <w:r w:rsidRPr="00696A28">
              <w:rPr>
                <w:rFonts w:ascii="Times New Roman" w:eastAsia="宋体" w:hAnsi="Times New Roman" w:cs="Times New Roman"/>
                <w:szCs w:val="21"/>
              </w:rPr>
              <w:t>TRX</w:t>
            </w:r>
            <w:r w:rsidRPr="00696A28">
              <w:rPr>
                <w:rFonts w:ascii="Times New Roman" w:eastAsia="宋体" w:hAnsi="Times New Roman" w:cs="Times New Roman"/>
                <w:szCs w:val="21"/>
              </w:rPr>
              <w:t>）</w:t>
            </w:r>
          </w:p>
        </w:tc>
        <w:tc>
          <w:tcPr>
            <w:tcW w:w="2012" w:type="pct"/>
            <w:vAlign w:val="center"/>
          </w:tcPr>
          <w:p w14:paraId="3C4472A2" w14:textId="77777777" w:rsidR="008254B9" w:rsidRPr="00696A28" w:rsidRDefault="008254B9" w:rsidP="00AF0AF5">
            <w:pPr>
              <w:snapToGrid w:val="0"/>
              <w:spacing w:line="360" w:lineRule="auto"/>
              <w:ind w:firstLine="420"/>
              <w:jc w:val="center"/>
              <w:rPr>
                <w:rFonts w:ascii="Times New Roman" w:eastAsia="宋体" w:hAnsi="Times New Roman" w:cs="Times New Roman"/>
                <w:szCs w:val="21"/>
              </w:rPr>
            </w:pPr>
            <w:r w:rsidRPr="00696A28">
              <w:rPr>
                <w:rFonts w:ascii="Times New Roman" w:eastAsia="宋体" w:hAnsi="Times New Roman" w:cs="Times New Roman"/>
                <w:szCs w:val="21"/>
              </w:rPr>
              <w:t>206.92</w:t>
            </w:r>
          </w:p>
        </w:tc>
      </w:tr>
    </w:tbl>
    <w:p w14:paraId="5F79FA6F" w14:textId="28EDA311" w:rsidR="008254B9" w:rsidRPr="000C62AD" w:rsidRDefault="008254B9" w:rsidP="00AF0AF5">
      <w:pPr>
        <w:adjustRightInd w:val="0"/>
        <w:snapToGrid w:val="0"/>
        <w:spacing w:before="100" w:beforeAutospacing="1" w:after="100" w:afterAutospacing="1" w:line="360" w:lineRule="auto"/>
        <w:ind w:firstLineChars="200" w:firstLine="420"/>
        <w:contextualSpacing/>
        <w:rPr>
          <w:szCs w:val="21"/>
        </w:rPr>
      </w:pPr>
      <w:r w:rsidRPr="000C62AD">
        <w:rPr>
          <w:szCs w:val="21"/>
        </w:rPr>
        <w:t>数据来源：</w:t>
      </w:r>
      <w:r w:rsidRPr="000C62AD">
        <w:rPr>
          <w:rFonts w:hint="eastAsia"/>
          <w:szCs w:val="21"/>
        </w:rPr>
        <w:t>加密货币行情（</w:t>
      </w:r>
      <w:r w:rsidRPr="000C62AD">
        <w:rPr>
          <w:rFonts w:hint="eastAsia"/>
          <w:szCs w:val="21"/>
        </w:rPr>
        <w:t>CoinMarketCap</w:t>
      </w:r>
      <w:r w:rsidRPr="000C62AD">
        <w:rPr>
          <w:rFonts w:hint="eastAsia"/>
          <w:szCs w:val="21"/>
        </w:rPr>
        <w:t>）网站（网址：</w:t>
      </w:r>
      <w:r w:rsidRPr="000C62AD">
        <w:rPr>
          <w:szCs w:val="21"/>
        </w:rPr>
        <w:t xml:space="preserve"> https://coinmarketcap.com/zh/</w:t>
      </w:r>
      <w:r w:rsidRPr="000C62AD">
        <w:rPr>
          <w:rFonts w:hint="eastAsia"/>
          <w:szCs w:val="21"/>
        </w:rPr>
        <w:t>），</w:t>
      </w:r>
      <w:r w:rsidR="00B6283E">
        <w:rPr>
          <w:rFonts w:hint="eastAsia"/>
          <w:szCs w:val="21"/>
        </w:rPr>
        <w:t>提取</w:t>
      </w:r>
      <w:r w:rsidRPr="000C62AD">
        <w:rPr>
          <w:rFonts w:hint="eastAsia"/>
          <w:szCs w:val="21"/>
        </w:rPr>
        <w:t>日期为</w:t>
      </w:r>
      <w:r w:rsidRPr="000C62AD">
        <w:rPr>
          <w:rFonts w:hint="eastAsia"/>
          <w:szCs w:val="21"/>
        </w:rPr>
        <w:t>2025</w:t>
      </w:r>
      <w:r w:rsidRPr="000C62AD">
        <w:rPr>
          <w:rFonts w:hint="eastAsia"/>
          <w:szCs w:val="21"/>
        </w:rPr>
        <w:t>年</w:t>
      </w:r>
      <w:r w:rsidRPr="000C62AD">
        <w:rPr>
          <w:rFonts w:hint="eastAsia"/>
          <w:szCs w:val="21"/>
        </w:rPr>
        <w:t>1</w:t>
      </w:r>
      <w:r w:rsidRPr="000C62AD">
        <w:rPr>
          <w:rFonts w:hint="eastAsia"/>
          <w:szCs w:val="21"/>
        </w:rPr>
        <w:t>月</w:t>
      </w:r>
      <w:r w:rsidRPr="000C62AD">
        <w:rPr>
          <w:rFonts w:hint="eastAsia"/>
          <w:szCs w:val="21"/>
        </w:rPr>
        <w:t>20</w:t>
      </w:r>
      <w:r w:rsidRPr="000C62AD">
        <w:rPr>
          <w:rFonts w:hint="eastAsia"/>
          <w:szCs w:val="21"/>
        </w:rPr>
        <w:t>日。</w:t>
      </w:r>
    </w:p>
    <w:p w14:paraId="53FA453E" w14:textId="6BC54C2B" w:rsidR="00173F32" w:rsidRPr="000478CB" w:rsidRDefault="00894030" w:rsidP="00AF0AF5">
      <w:pPr>
        <w:adjustRightInd w:val="0"/>
        <w:snapToGrid w:val="0"/>
        <w:spacing w:before="100" w:beforeAutospacing="1" w:after="100" w:afterAutospacing="1" w:line="360" w:lineRule="auto"/>
        <w:ind w:firstLineChars="200" w:firstLine="480"/>
        <w:contextualSpacing/>
        <w:rPr>
          <w:sz w:val="24"/>
          <w:szCs w:val="24"/>
        </w:rPr>
      </w:pPr>
      <w:r>
        <w:rPr>
          <w:rFonts w:hint="eastAsia"/>
          <w:sz w:val="24"/>
          <w:szCs w:val="24"/>
        </w:rPr>
        <w:t>热闹纷繁</w:t>
      </w:r>
      <w:r w:rsidR="00E3466C" w:rsidRPr="000478CB">
        <w:rPr>
          <w:rFonts w:hint="eastAsia"/>
          <w:sz w:val="24"/>
          <w:szCs w:val="24"/>
        </w:rPr>
        <w:t>的央行</w:t>
      </w:r>
      <w:r w:rsidR="00AA5892" w:rsidRPr="000478CB">
        <w:rPr>
          <w:rFonts w:hint="eastAsia"/>
          <w:sz w:val="24"/>
          <w:szCs w:val="24"/>
        </w:rPr>
        <w:t>数字货币、加密</w:t>
      </w:r>
      <w:r w:rsidR="00574A48" w:rsidRPr="000478CB">
        <w:rPr>
          <w:rFonts w:hint="eastAsia"/>
          <w:sz w:val="24"/>
          <w:szCs w:val="24"/>
        </w:rPr>
        <w:t>货币</w:t>
      </w:r>
      <w:r w:rsidR="00AA5892" w:rsidRPr="000478CB">
        <w:rPr>
          <w:rFonts w:hint="eastAsia"/>
          <w:sz w:val="24"/>
          <w:szCs w:val="24"/>
        </w:rPr>
        <w:t>、</w:t>
      </w:r>
      <w:r w:rsidR="00574A48" w:rsidRPr="000478CB">
        <w:rPr>
          <w:rFonts w:hint="eastAsia"/>
          <w:sz w:val="24"/>
          <w:szCs w:val="24"/>
        </w:rPr>
        <w:t>代币</w:t>
      </w:r>
      <w:r w:rsidR="00BF221B" w:rsidRPr="000478CB">
        <w:rPr>
          <w:rFonts w:hint="eastAsia"/>
          <w:sz w:val="24"/>
          <w:szCs w:val="24"/>
        </w:rPr>
        <w:t>资产、</w:t>
      </w:r>
      <w:r w:rsidR="00AA5892" w:rsidRPr="000478CB">
        <w:rPr>
          <w:rFonts w:hint="eastAsia"/>
          <w:sz w:val="24"/>
          <w:szCs w:val="24"/>
        </w:rPr>
        <w:t>数字证券、数字藏品等</w:t>
      </w:r>
      <w:r w:rsidR="00640DE3" w:rsidRPr="000478CB">
        <w:rPr>
          <w:rFonts w:hint="eastAsia"/>
          <w:sz w:val="24"/>
          <w:szCs w:val="24"/>
        </w:rPr>
        <w:t>新型</w:t>
      </w:r>
      <w:r w:rsidR="00AA5892" w:rsidRPr="000478CB">
        <w:rPr>
          <w:rFonts w:hint="eastAsia"/>
          <w:sz w:val="24"/>
          <w:szCs w:val="24"/>
        </w:rPr>
        <w:t>资</w:t>
      </w:r>
      <w:r>
        <w:rPr>
          <w:rFonts w:hint="eastAsia"/>
          <w:sz w:val="24"/>
          <w:szCs w:val="24"/>
        </w:rPr>
        <w:t>产，对金融资产定义、计量、信息相关性等特征带来了理论和实践</w:t>
      </w:r>
      <w:r w:rsidR="00AA5892" w:rsidRPr="000478CB">
        <w:rPr>
          <w:rFonts w:hint="eastAsia"/>
          <w:sz w:val="24"/>
          <w:szCs w:val="24"/>
        </w:rPr>
        <w:t>难题</w:t>
      </w:r>
      <w:r w:rsidR="003C62D9" w:rsidRPr="000478CB">
        <w:rPr>
          <w:rFonts w:hint="eastAsia"/>
          <w:sz w:val="24"/>
          <w:szCs w:val="24"/>
        </w:rPr>
        <w:t>，也</w:t>
      </w:r>
      <w:r>
        <w:rPr>
          <w:rFonts w:hint="eastAsia"/>
          <w:sz w:val="24"/>
          <w:szCs w:val="24"/>
        </w:rPr>
        <w:t>给国际货币金融体系带来重大</w:t>
      </w:r>
      <w:r w:rsidR="003C62D9" w:rsidRPr="000478CB">
        <w:rPr>
          <w:rFonts w:hint="eastAsia"/>
          <w:sz w:val="24"/>
          <w:szCs w:val="24"/>
        </w:rPr>
        <w:t>的不确定性。</w:t>
      </w:r>
      <w:r w:rsidR="00574A48" w:rsidRPr="000478CB">
        <w:rPr>
          <w:rFonts w:hint="eastAsia"/>
          <w:sz w:val="24"/>
          <w:szCs w:val="24"/>
        </w:rPr>
        <w:t>当前</w:t>
      </w:r>
      <w:r w:rsidR="00574A48" w:rsidRPr="000478CB">
        <w:rPr>
          <w:sz w:val="24"/>
          <w:szCs w:val="24"/>
        </w:rPr>
        <w:t>，</w:t>
      </w:r>
      <w:r w:rsidR="00574A48" w:rsidRPr="000478CB">
        <w:rPr>
          <w:rFonts w:hint="eastAsia"/>
          <w:sz w:val="24"/>
          <w:szCs w:val="24"/>
        </w:rPr>
        <w:t>国际货币体系是一个以主权信用为支撑的信用本位体系</w:t>
      </w:r>
      <w:r w:rsidR="006C672F">
        <w:rPr>
          <w:rFonts w:hint="eastAsia"/>
          <w:sz w:val="24"/>
          <w:szCs w:val="24"/>
        </w:rPr>
        <w:t>（张明等，</w:t>
      </w:r>
      <w:r w:rsidR="006C672F">
        <w:rPr>
          <w:rFonts w:hint="eastAsia"/>
          <w:sz w:val="24"/>
          <w:szCs w:val="24"/>
        </w:rPr>
        <w:t>2024a</w:t>
      </w:r>
      <w:r w:rsidR="006C672F">
        <w:rPr>
          <w:rFonts w:hint="eastAsia"/>
          <w:sz w:val="24"/>
          <w:szCs w:val="24"/>
        </w:rPr>
        <w:t>）</w:t>
      </w:r>
      <w:r w:rsidR="00574A48" w:rsidRPr="000478CB">
        <w:rPr>
          <w:rFonts w:hint="eastAsia"/>
          <w:sz w:val="24"/>
          <w:szCs w:val="24"/>
        </w:rPr>
        <w:t>，但是，在新兴技术支撑之下，</w:t>
      </w:r>
      <w:r w:rsidR="00574A48" w:rsidRPr="000478CB">
        <w:rPr>
          <w:sz w:val="24"/>
          <w:szCs w:val="24"/>
        </w:rPr>
        <w:t>全球数字金融系统可能出现一个</w:t>
      </w:r>
      <w:r w:rsidR="007D6AB2" w:rsidRPr="000478CB">
        <w:rPr>
          <w:rFonts w:hint="eastAsia"/>
          <w:sz w:val="24"/>
          <w:szCs w:val="24"/>
        </w:rPr>
        <w:t>基于</w:t>
      </w:r>
      <w:r w:rsidR="00574A48" w:rsidRPr="000478CB">
        <w:rPr>
          <w:sz w:val="24"/>
          <w:szCs w:val="24"/>
        </w:rPr>
        <w:t>数字资产的新体系，而</w:t>
      </w:r>
      <w:r w:rsidR="00640DE3" w:rsidRPr="000478CB">
        <w:rPr>
          <w:rFonts w:hint="eastAsia"/>
          <w:sz w:val="24"/>
          <w:szCs w:val="24"/>
        </w:rPr>
        <w:t>某种数字</w:t>
      </w:r>
      <w:r w:rsidR="00574A48" w:rsidRPr="000478CB">
        <w:rPr>
          <w:sz w:val="24"/>
          <w:szCs w:val="24"/>
        </w:rPr>
        <w:t>资产可能成为这一新赛道的主角，</w:t>
      </w:r>
      <w:r w:rsidR="008254B9" w:rsidRPr="000478CB">
        <w:rPr>
          <w:rFonts w:hint="eastAsia"/>
          <w:sz w:val="24"/>
          <w:szCs w:val="24"/>
        </w:rPr>
        <w:t>进而</w:t>
      </w:r>
      <w:r w:rsidR="00574A48" w:rsidRPr="000478CB">
        <w:rPr>
          <w:sz w:val="24"/>
          <w:szCs w:val="24"/>
        </w:rPr>
        <w:t>成为</w:t>
      </w:r>
      <w:r w:rsidR="00574A48" w:rsidRPr="000478CB">
        <w:rPr>
          <w:sz w:val="24"/>
          <w:szCs w:val="24"/>
        </w:rPr>
        <w:t>“</w:t>
      </w:r>
      <w:r w:rsidR="00574A48" w:rsidRPr="000478CB">
        <w:rPr>
          <w:sz w:val="24"/>
          <w:szCs w:val="24"/>
        </w:rPr>
        <w:t>强大货币</w:t>
      </w:r>
      <w:r w:rsidR="00574A48" w:rsidRPr="000478CB">
        <w:rPr>
          <w:sz w:val="24"/>
          <w:szCs w:val="24"/>
        </w:rPr>
        <w:t>”</w:t>
      </w:r>
      <w:r w:rsidR="00574A48" w:rsidRPr="000478CB">
        <w:rPr>
          <w:sz w:val="24"/>
          <w:szCs w:val="24"/>
        </w:rPr>
        <w:t>的新载体。</w:t>
      </w:r>
      <w:r w:rsidR="00F05274" w:rsidRPr="000478CB">
        <w:rPr>
          <w:rFonts w:hint="eastAsia"/>
          <w:sz w:val="24"/>
          <w:szCs w:val="24"/>
        </w:rPr>
        <w:t>特朗普新政府</w:t>
      </w:r>
      <w:r w:rsidR="00611341">
        <w:rPr>
          <w:rFonts w:hint="eastAsia"/>
          <w:sz w:val="24"/>
          <w:szCs w:val="24"/>
        </w:rPr>
        <w:t>上任</w:t>
      </w:r>
      <w:r w:rsidR="00F05274">
        <w:rPr>
          <w:rFonts w:hint="eastAsia"/>
          <w:sz w:val="24"/>
          <w:szCs w:val="24"/>
        </w:rPr>
        <w:t>后</w:t>
      </w:r>
      <w:r w:rsidR="00F05274" w:rsidRPr="000478CB">
        <w:rPr>
          <w:rFonts w:hint="eastAsia"/>
          <w:sz w:val="24"/>
          <w:szCs w:val="24"/>
        </w:rPr>
        <w:t>，美国可能会进一步加快区块链技术、人工智能、智能合约、元宇宙</w:t>
      </w:r>
      <w:r w:rsidR="00F05274">
        <w:rPr>
          <w:rFonts w:hint="eastAsia"/>
          <w:sz w:val="24"/>
          <w:szCs w:val="24"/>
        </w:rPr>
        <w:t>等</w:t>
      </w:r>
      <w:r w:rsidR="00F05274" w:rsidRPr="000478CB">
        <w:rPr>
          <w:rFonts w:hint="eastAsia"/>
          <w:sz w:val="24"/>
          <w:szCs w:val="24"/>
        </w:rPr>
        <w:t>在金融体系中的应用，不断提升其数字金融的国际竞争力。</w:t>
      </w:r>
    </w:p>
    <w:p w14:paraId="033F50A2" w14:textId="26092146" w:rsidR="00B81362" w:rsidRDefault="00173F32" w:rsidP="00AF0AF5">
      <w:pPr>
        <w:adjustRightInd w:val="0"/>
        <w:snapToGrid w:val="0"/>
        <w:spacing w:before="100" w:beforeAutospacing="1" w:after="100" w:afterAutospacing="1" w:line="360" w:lineRule="auto"/>
        <w:ind w:firstLineChars="200" w:firstLine="480"/>
        <w:contextualSpacing/>
        <w:rPr>
          <w:sz w:val="24"/>
          <w:szCs w:val="24"/>
        </w:rPr>
      </w:pPr>
      <w:r w:rsidRPr="000478CB">
        <w:rPr>
          <w:rFonts w:hint="eastAsia"/>
          <w:sz w:val="24"/>
          <w:szCs w:val="24"/>
        </w:rPr>
        <w:t>2025</w:t>
      </w:r>
      <w:r w:rsidRPr="000478CB">
        <w:rPr>
          <w:rFonts w:hint="eastAsia"/>
          <w:sz w:val="24"/>
          <w:szCs w:val="24"/>
        </w:rPr>
        <w:t>年特朗普重回白宫给美国数字资产和数字金融的发展带来强大动力。</w:t>
      </w:r>
      <w:r w:rsidR="00E3466C" w:rsidRPr="000478CB">
        <w:rPr>
          <w:rFonts w:hint="eastAsia"/>
          <w:sz w:val="24"/>
          <w:szCs w:val="24"/>
        </w:rPr>
        <w:t>早</w:t>
      </w:r>
      <w:r w:rsidR="00824844" w:rsidRPr="000478CB">
        <w:rPr>
          <w:rFonts w:hint="eastAsia"/>
          <w:sz w:val="24"/>
          <w:szCs w:val="24"/>
        </w:rPr>
        <w:t>在竞选期间，特朗普就强调就要将美国建设成为“全球加密资产之都”和“世界比特币超级大国”。</w:t>
      </w:r>
      <w:r w:rsidR="00E25B53" w:rsidRPr="000478CB">
        <w:rPr>
          <w:rFonts w:hint="eastAsia"/>
          <w:sz w:val="24"/>
          <w:szCs w:val="24"/>
        </w:rPr>
        <w:t>1</w:t>
      </w:r>
      <w:r w:rsidR="00E25B53" w:rsidRPr="000478CB">
        <w:rPr>
          <w:rFonts w:hint="eastAsia"/>
          <w:sz w:val="24"/>
          <w:szCs w:val="24"/>
        </w:rPr>
        <w:t>月</w:t>
      </w:r>
      <w:r w:rsidR="00E25B53" w:rsidRPr="000478CB">
        <w:rPr>
          <w:rFonts w:hint="eastAsia"/>
          <w:sz w:val="24"/>
          <w:szCs w:val="24"/>
        </w:rPr>
        <w:t>23</w:t>
      </w:r>
      <w:r w:rsidR="00E25B53" w:rsidRPr="000478CB">
        <w:rPr>
          <w:rFonts w:hint="eastAsia"/>
          <w:sz w:val="24"/>
          <w:szCs w:val="24"/>
        </w:rPr>
        <w:t>日，特朗普签署行政令</w:t>
      </w:r>
      <w:r w:rsidR="005D18A0" w:rsidRPr="000478CB">
        <w:rPr>
          <w:rFonts w:hint="eastAsia"/>
          <w:sz w:val="24"/>
          <w:szCs w:val="24"/>
        </w:rPr>
        <w:t>要求设立总统数字资产</w:t>
      </w:r>
      <w:r w:rsidR="00894030">
        <w:rPr>
          <w:rFonts w:hint="eastAsia"/>
          <w:sz w:val="24"/>
          <w:szCs w:val="24"/>
        </w:rPr>
        <w:t>市场</w:t>
      </w:r>
      <w:r w:rsidR="005D18A0" w:rsidRPr="000478CB">
        <w:rPr>
          <w:rFonts w:hint="eastAsia"/>
          <w:sz w:val="24"/>
          <w:szCs w:val="24"/>
        </w:rPr>
        <w:t>工作组，</w:t>
      </w:r>
      <w:r w:rsidR="00574A48" w:rsidRPr="000478CB">
        <w:rPr>
          <w:rFonts w:hint="eastAsia"/>
          <w:sz w:val="24"/>
          <w:szCs w:val="24"/>
        </w:rPr>
        <w:t>工作组不仅有财政部长、商务部长、证券交易委员会主席、商品期货交易委员会主席等人员，而且还有国土安全部部长、总统国家安全事务助理、国土安全顾问等</w:t>
      </w:r>
      <w:r w:rsidRPr="00F26277">
        <w:rPr>
          <w:rFonts w:ascii="Times New Roman" w:hAnsi="Times New Roman" w:cs="Times New Roman"/>
          <w:sz w:val="24"/>
          <w:szCs w:val="24"/>
          <w:vertAlign w:val="superscript"/>
        </w:rPr>
        <w:footnoteReference w:id="17"/>
      </w:r>
      <w:r w:rsidR="00574A48" w:rsidRPr="000478CB">
        <w:rPr>
          <w:rFonts w:hint="eastAsia"/>
          <w:sz w:val="24"/>
          <w:szCs w:val="24"/>
        </w:rPr>
        <w:t>，可见，美国数字资产发展不仅关乎金融创新，</w:t>
      </w:r>
      <w:r w:rsidR="007D6AB2" w:rsidRPr="000478CB">
        <w:rPr>
          <w:rFonts w:hint="eastAsia"/>
          <w:sz w:val="24"/>
          <w:szCs w:val="24"/>
        </w:rPr>
        <w:t>还关乎</w:t>
      </w:r>
      <w:r w:rsidR="00574A48" w:rsidRPr="000478CB">
        <w:rPr>
          <w:rFonts w:hint="eastAsia"/>
          <w:sz w:val="24"/>
          <w:szCs w:val="24"/>
        </w:rPr>
        <w:t>国家安全。工作组将</w:t>
      </w:r>
      <w:r w:rsidR="005D18A0" w:rsidRPr="000478CB">
        <w:rPr>
          <w:rFonts w:hint="eastAsia"/>
          <w:sz w:val="24"/>
          <w:szCs w:val="24"/>
        </w:rPr>
        <w:t>制定</w:t>
      </w:r>
      <w:r w:rsidR="00574A48" w:rsidRPr="000478CB">
        <w:rPr>
          <w:rFonts w:hint="eastAsia"/>
          <w:sz w:val="24"/>
          <w:szCs w:val="24"/>
        </w:rPr>
        <w:t>包括加密货币、数字代币和稳定币的</w:t>
      </w:r>
      <w:r w:rsidR="005D18A0" w:rsidRPr="000478CB">
        <w:rPr>
          <w:rFonts w:hint="eastAsia"/>
          <w:sz w:val="24"/>
          <w:szCs w:val="24"/>
        </w:rPr>
        <w:t>数字资产联邦监管</w:t>
      </w:r>
      <w:r w:rsidR="00574A48" w:rsidRPr="000478CB">
        <w:rPr>
          <w:rFonts w:hint="eastAsia"/>
          <w:sz w:val="24"/>
          <w:szCs w:val="24"/>
        </w:rPr>
        <w:t>框架</w:t>
      </w:r>
      <w:r w:rsidR="005D18A0" w:rsidRPr="000478CB">
        <w:rPr>
          <w:rFonts w:hint="eastAsia"/>
          <w:sz w:val="24"/>
          <w:szCs w:val="24"/>
        </w:rPr>
        <w:t>，并评估建立战略性国家数字资产储备</w:t>
      </w:r>
      <w:r w:rsidRPr="000478CB">
        <w:rPr>
          <w:rFonts w:hint="eastAsia"/>
          <w:sz w:val="24"/>
          <w:szCs w:val="24"/>
        </w:rPr>
        <w:t>。更为关键的是，</w:t>
      </w:r>
      <w:r w:rsidR="005D18A0" w:rsidRPr="000478CB">
        <w:rPr>
          <w:rFonts w:hint="eastAsia"/>
          <w:sz w:val="24"/>
          <w:szCs w:val="24"/>
        </w:rPr>
        <w:t>该行政令禁止各机构设立、发行或推广央行数字货币</w:t>
      </w:r>
      <w:r w:rsidR="006071C7" w:rsidRPr="000478CB">
        <w:rPr>
          <w:rFonts w:hint="eastAsia"/>
          <w:sz w:val="24"/>
          <w:szCs w:val="24"/>
        </w:rPr>
        <w:t>（而中国在央行数字货币方面处于国际领先</w:t>
      </w:r>
      <w:r w:rsidR="006C672F">
        <w:rPr>
          <w:rFonts w:hint="eastAsia"/>
          <w:sz w:val="24"/>
          <w:szCs w:val="24"/>
        </w:rPr>
        <w:t>地位</w:t>
      </w:r>
      <w:r w:rsidR="006071C7" w:rsidRPr="000478CB">
        <w:rPr>
          <w:rFonts w:hint="eastAsia"/>
          <w:sz w:val="24"/>
          <w:szCs w:val="24"/>
        </w:rPr>
        <w:t>）</w:t>
      </w:r>
      <w:r w:rsidRPr="000478CB">
        <w:rPr>
          <w:rFonts w:hint="eastAsia"/>
          <w:sz w:val="24"/>
          <w:szCs w:val="24"/>
        </w:rPr>
        <w:t>。</w:t>
      </w:r>
      <w:r w:rsidR="00E3466C" w:rsidRPr="000478CB">
        <w:rPr>
          <w:rFonts w:hint="eastAsia"/>
          <w:sz w:val="24"/>
          <w:szCs w:val="24"/>
        </w:rPr>
        <w:t>可以看到，</w:t>
      </w:r>
      <w:r w:rsidR="00824844" w:rsidRPr="000478CB">
        <w:rPr>
          <w:rFonts w:hint="eastAsia"/>
          <w:sz w:val="24"/>
          <w:szCs w:val="24"/>
        </w:rPr>
        <w:t>美国的目标是成为</w:t>
      </w:r>
      <w:r w:rsidR="00E3466C" w:rsidRPr="000478CB">
        <w:rPr>
          <w:rFonts w:hint="eastAsia"/>
          <w:sz w:val="24"/>
          <w:szCs w:val="24"/>
        </w:rPr>
        <w:t>数字</w:t>
      </w:r>
      <w:r w:rsidR="00824844" w:rsidRPr="000478CB">
        <w:rPr>
          <w:rFonts w:hint="eastAsia"/>
          <w:sz w:val="24"/>
          <w:szCs w:val="24"/>
        </w:rPr>
        <w:t>金融</w:t>
      </w:r>
      <w:r w:rsidR="008254B9" w:rsidRPr="000478CB">
        <w:rPr>
          <w:rFonts w:hint="eastAsia"/>
          <w:sz w:val="24"/>
          <w:szCs w:val="24"/>
        </w:rPr>
        <w:t>监管与</w:t>
      </w:r>
      <w:r w:rsidR="00824844" w:rsidRPr="000478CB">
        <w:rPr>
          <w:rFonts w:hint="eastAsia"/>
          <w:sz w:val="24"/>
          <w:szCs w:val="24"/>
        </w:rPr>
        <w:t>创新的</w:t>
      </w:r>
      <w:r w:rsidR="008254B9" w:rsidRPr="000478CB">
        <w:rPr>
          <w:rFonts w:hint="eastAsia"/>
          <w:sz w:val="24"/>
          <w:szCs w:val="24"/>
        </w:rPr>
        <w:t>全球引领者，</w:t>
      </w:r>
      <w:r w:rsidR="00824844" w:rsidRPr="000478CB">
        <w:rPr>
          <w:rFonts w:hint="eastAsia"/>
          <w:sz w:val="24"/>
          <w:szCs w:val="24"/>
        </w:rPr>
        <w:t>数字金融</w:t>
      </w:r>
      <w:r w:rsidR="008254B9" w:rsidRPr="000478CB">
        <w:rPr>
          <w:rFonts w:hint="eastAsia"/>
          <w:sz w:val="24"/>
          <w:szCs w:val="24"/>
        </w:rPr>
        <w:t>也必</w:t>
      </w:r>
      <w:r w:rsidR="00824844" w:rsidRPr="000478CB">
        <w:rPr>
          <w:rFonts w:hint="eastAsia"/>
          <w:sz w:val="24"/>
          <w:szCs w:val="24"/>
        </w:rPr>
        <w:t>将成为大国金融博弈的新高地。</w:t>
      </w:r>
    </w:p>
    <w:p w14:paraId="426889E1" w14:textId="77777777" w:rsidR="00792CEC" w:rsidRPr="000478CB" w:rsidRDefault="00792CEC" w:rsidP="00AF0AF5">
      <w:pPr>
        <w:adjustRightInd w:val="0"/>
        <w:snapToGrid w:val="0"/>
        <w:spacing w:before="100" w:beforeAutospacing="1" w:after="100" w:afterAutospacing="1" w:line="360" w:lineRule="auto"/>
        <w:ind w:firstLineChars="200" w:firstLine="480"/>
        <w:contextualSpacing/>
        <w:rPr>
          <w:sz w:val="24"/>
          <w:szCs w:val="24"/>
        </w:rPr>
      </w:pPr>
    </w:p>
    <w:p w14:paraId="1B58F049" w14:textId="351CF0C5" w:rsidR="00532AC9" w:rsidRPr="00792CEC" w:rsidRDefault="004E2C96" w:rsidP="00AF0AF5">
      <w:pPr>
        <w:adjustRightInd w:val="0"/>
        <w:snapToGrid w:val="0"/>
        <w:spacing w:before="100" w:beforeAutospacing="1" w:after="100" w:afterAutospacing="1" w:line="360" w:lineRule="auto"/>
        <w:ind w:firstLineChars="200" w:firstLine="562"/>
        <w:contextualSpacing/>
        <w:rPr>
          <w:rFonts w:ascii="宋体" w:eastAsia="宋体" w:hAnsi="宋体"/>
          <w:b/>
          <w:bCs/>
          <w:sz w:val="28"/>
          <w:szCs w:val="28"/>
        </w:rPr>
      </w:pPr>
      <w:r w:rsidRPr="00792CEC">
        <w:rPr>
          <w:rFonts w:ascii="宋体" w:eastAsia="宋体" w:hAnsi="宋体" w:hint="eastAsia"/>
          <w:b/>
          <w:bCs/>
          <w:sz w:val="28"/>
          <w:szCs w:val="28"/>
        </w:rPr>
        <w:t>四</w:t>
      </w:r>
      <w:r w:rsidR="00F40FD3" w:rsidRPr="00792CEC">
        <w:rPr>
          <w:rFonts w:ascii="宋体" w:eastAsia="宋体" w:hAnsi="宋体"/>
          <w:b/>
          <w:bCs/>
          <w:sz w:val="28"/>
          <w:szCs w:val="28"/>
        </w:rPr>
        <w:t>、“十五五”时期</w:t>
      </w:r>
      <w:r w:rsidR="008C1DB7" w:rsidRPr="00792CEC">
        <w:rPr>
          <w:rFonts w:ascii="宋体" w:eastAsia="宋体" w:hAnsi="宋体" w:hint="eastAsia"/>
          <w:b/>
          <w:bCs/>
          <w:sz w:val="28"/>
          <w:szCs w:val="28"/>
        </w:rPr>
        <w:t>中国</w:t>
      </w:r>
      <w:r w:rsidR="00F40FD3" w:rsidRPr="00792CEC">
        <w:rPr>
          <w:rFonts w:ascii="宋体" w:eastAsia="宋体" w:hAnsi="宋体"/>
          <w:b/>
          <w:bCs/>
          <w:sz w:val="28"/>
          <w:szCs w:val="28"/>
        </w:rPr>
        <w:t>金融发展</w:t>
      </w:r>
      <w:r w:rsidR="00C04C25" w:rsidRPr="00792CEC">
        <w:rPr>
          <w:rFonts w:ascii="宋体" w:eastAsia="宋体" w:hAnsi="宋体" w:hint="eastAsia"/>
          <w:b/>
          <w:bCs/>
          <w:sz w:val="28"/>
          <w:szCs w:val="28"/>
        </w:rPr>
        <w:t>的战略</w:t>
      </w:r>
      <w:r w:rsidR="00F40FD3" w:rsidRPr="00792CEC">
        <w:rPr>
          <w:rFonts w:ascii="宋体" w:eastAsia="宋体" w:hAnsi="宋体"/>
          <w:b/>
          <w:bCs/>
          <w:sz w:val="28"/>
          <w:szCs w:val="28"/>
        </w:rPr>
        <w:t>重点</w:t>
      </w:r>
    </w:p>
    <w:p w14:paraId="3E06DC17" w14:textId="4C0C6AA3" w:rsidR="0066302B" w:rsidRPr="00AF602B" w:rsidRDefault="0066302B"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sidRPr="00AF602B">
        <w:rPr>
          <w:rFonts w:ascii="Times New Roman" w:eastAsia="宋体" w:hAnsi="Times New Roman" w:cs="Times New Roman"/>
          <w:sz w:val="24"/>
          <w:szCs w:val="24"/>
        </w:rPr>
        <w:t>在党中央的坚强领导下，根据</w:t>
      </w:r>
      <w:r w:rsidR="00894030">
        <w:rPr>
          <w:rFonts w:ascii="宋体" w:eastAsia="宋体" w:hAnsi="宋体" w:cs="Times New Roman" w:hint="eastAsia"/>
          <w:sz w:val="24"/>
          <w:szCs w:val="24"/>
        </w:rPr>
        <w:t>国家</w:t>
      </w:r>
      <w:r w:rsidRPr="00B42A60">
        <w:rPr>
          <w:rFonts w:ascii="宋体" w:eastAsia="宋体" w:hAnsi="宋体" w:cs="Times New Roman"/>
          <w:sz w:val="24"/>
          <w:szCs w:val="24"/>
        </w:rPr>
        <w:t>“十四五”时期经济</w:t>
      </w:r>
      <w:r w:rsidRPr="00AF602B">
        <w:rPr>
          <w:rFonts w:ascii="Times New Roman" w:eastAsia="宋体" w:hAnsi="Times New Roman" w:cs="Times New Roman"/>
          <w:sz w:val="24"/>
          <w:szCs w:val="24"/>
        </w:rPr>
        <w:t>社会发展规划，</w:t>
      </w:r>
      <w:r w:rsidR="00963DC4" w:rsidRPr="00AF602B">
        <w:rPr>
          <w:rFonts w:ascii="Times New Roman" w:eastAsia="宋体" w:hAnsi="Times New Roman" w:cs="Times New Roman"/>
          <w:sz w:val="24"/>
          <w:szCs w:val="24"/>
        </w:rPr>
        <w:t>中国</w:t>
      </w:r>
      <w:r w:rsidRPr="00AF602B">
        <w:rPr>
          <w:rFonts w:ascii="Times New Roman" w:eastAsia="宋体" w:hAnsi="Times New Roman" w:cs="Times New Roman"/>
          <w:sz w:val="24"/>
          <w:szCs w:val="24"/>
        </w:rPr>
        <w:t>金融改革发展取得</w:t>
      </w:r>
      <w:r w:rsidR="004E637C" w:rsidRPr="00AF602B">
        <w:rPr>
          <w:rFonts w:ascii="Times New Roman" w:eastAsia="宋体" w:hAnsi="Times New Roman" w:cs="Times New Roman"/>
          <w:sz w:val="24"/>
          <w:szCs w:val="24"/>
        </w:rPr>
        <w:t>新</w:t>
      </w:r>
      <w:r w:rsidRPr="00AF602B">
        <w:rPr>
          <w:rFonts w:ascii="Times New Roman" w:eastAsia="宋体" w:hAnsi="Times New Roman" w:cs="Times New Roman"/>
          <w:sz w:val="24"/>
          <w:szCs w:val="24"/>
        </w:rPr>
        <w:t>的</w:t>
      </w:r>
      <w:r w:rsidR="004E637C" w:rsidRPr="00AF602B">
        <w:rPr>
          <w:rFonts w:ascii="Times New Roman" w:eastAsia="宋体" w:hAnsi="Times New Roman" w:cs="Times New Roman"/>
          <w:sz w:val="24"/>
          <w:szCs w:val="24"/>
        </w:rPr>
        <w:t>重大</w:t>
      </w:r>
      <w:r w:rsidRPr="00AF602B">
        <w:rPr>
          <w:rFonts w:ascii="Times New Roman" w:eastAsia="宋体" w:hAnsi="Times New Roman" w:cs="Times New Roman"/>
          <w:sz w:val="24"/>
          <w:szCs w:val="24"/>
        </w:rPr>
        <w:t>成就</w:t>
      </w:r>
      <w:r w:rsidR="004E637C" w:rsidRPr="00AF602B">
        <w:rPr>
          <w:rFonts w:ascii="Times New Roman" w:eastAsia="宋体" w:hAnsi="Times New Roman" w:cs="Times New Roman"/>
          <w:sz w:val="24"/>
          <w:szCs w:val="24"/>
        </w:rPr>
        <w:t>，助力中国创造经济快速</w:t>
      </w:r>
      <w:r w:rsidR="00894030">
        <w:rPr>
          <w:rFonts w:ascii="Times New Roman" w:eastAsia="宋体" w:hAnsi="Times New Roman" w:cs="Times New Roman" w:hint="eastAsia"/>
          <w:sz w:val="24"/>
          <w:szCs w:val="24"/>
        </w:rPr>
        <w:t>发展</w:t>
      </w:r>
      <w:r w:rsidR="004E637C" w:rsidRPr="00AF602B">
        <w:rPr>
          <w:rFonts w:ascii="Times New Roman" w:eastAsia="宋体" w:hAnsi="Times New Roman" w:cs="Times New Roman"/>
          <w:sz w:val="24"/>
          <w:szCs w:val="24"/>
        </w:rPr>
        <w:t>和经济长期稳</w:t>
      </w:r>
      <w:r w:rsidR="004E637C" w:rsidRPr="00193D45">
        <w:rPr>
          <w:rFonts w:ascii="宋体" w:eastAsia="宋体" w:hAnsi="宋体" w:cs="Times New Roman"/>
          <w:sz w:val="24"/>
          <w:szCs w:val="24"/>
        </w:rPr>
        <w:t>定</w:t>
      </w:r>
      <w:r w:rsidR="004E637C" w:rsidRPr="00193D45">
        <w:rPr>
          <w:rFonts w:ascii="宋体" w:eastAsia="宋体" w:hAnsi="宋体" w:cs="Times New Roman"/>
          <w:sz w:val="24"/>
          <w:szCs w:val="24"/>
        </w:rPr>
        <w:lastRenderedPageBreak/>
        <w:t>“两大奇迹”</w:t>
      </w:r>
      <w:r w:rsidR="004E637C" w:rsidRPr="00AF602B">
        <w:rPr>
          <w:rFonts w:ascii="Times New Roman" w:eastAsia="宋体" w:hAnsi="Times New Roman" w:cs="Times New Roman"/>
          <w:sz w:val="24"/>
          <w:szCs w:val="24"/>
        </w:rPr>
        <w:t>（张晓晶，</w:t>
      </w:r>
      <w:r w:rsidR="004E637C" w:rsidRPr="00AF602B">
        <w:rPr>
          <w:rFonts w:ascii="Times New Roman" w:eastAsia="宋体" w:hAnsi="Times New Roman" w:cs="Times New Roman"/>
          <w:sz w:val="24"/>
          <w:szCs w:val="24"/>
        </w:rPr>
        <w:t>2024</w:t>
      </w:r>
      <w:r w:rsidR="00942EC1">
        <w:rPr>
          <w:rFonts w:ascii="Times New Roman" w:eastAsia="宋体" w:hAnsi="Times New Roman" w:cs="Times New Roman" w:hint="eastAsia"/>
          <w:sz w:val="24"/>
          <w:szCs w:val="24"/>
        </w:rPr>
        <w:t>b</w:t>
      </w:r>
      <w:r w:rsidR="004E637C" w:rsidRPr="00AF602B">
        <w:rPr>
          <w:rFonts w:ascii="Times New Roman" w:eastAsia="宋体" w:hAnsi="Times New Roman" w:cs="Times New Roman"/>
          <w:sz w:val="24"/>
          <w:szCs w:val="24"/>
        </w:rPr>
        <w:t>）。</w:t>
      </w:r>
      <w:r w:rsidRPr="00AF602B">
        <w:rPr>
          <w:rFonts w:ascii="Times New Roman" w:eastAsia="宋体" w:hAnsi="Times New Roman" w:cs="Times New Roman"/>
          <w:sz w:val="24"/>
          <w:szCs w:val="24"/>
        </w:rPr>
        <w:t>我国作为全球第二大经济体和金融市场的地位不断增强，</w:t>
      </w:r>
      <w:r w:rsidR="004E637C" w:rsidRPr="00AF602B">
        <w:rPr>
          <w:rFonts w:ascii="Times New Roman" w:eastAsia="宋体" w:hAnsi="Times New Roman" w:cs="Times New Roman"/>
          <w:sz w:val="24"/>
          <w:szCs w:val="24"/>
        </w:rPr>
        <w:t>国际</w:t>
      </w:r>
      <w:r w:rsidRPr="00AF602B">
        <w:rPr>
          <w:rFonts w:ascii="Times New Roman" w:eastAsia="宋体" w:hAnsi="Times New Roman" w:cs="Times New Roman"/>
          <w:sz w:val="24"/>
          <w:szCs w:val="24"/>
        </w:rPr>
        <w:t>竞争力总体</w:t>
      </w:r>
      <w:r w:rsidR="004E637C" w:rsidRPr="00AF602B">
        <w:rPr>
          <w:rFonts w:ascii="Times New Roman" w:eastAsia="宋体" w:hAnsi="Times New Roman" w:cs="Times New Roman"/>
          <w:sz w:val="24"/>
          <w:szCs w:val="24"/>
        </w:rPr>
        <w:t>持续</w:t>
      </w:r>
      <w:r w:rsidRPr="00AF602B">
        <w:rPr>
          <w:rFonts w:ascii="Times New Roman" w:eastAsia="宋体" w:hAnsi="Times New Roman" w:cs="Times New Roman"/>
          <w:sz w:val="24"/>
          <w:szCs w:val="24"/>
        </w:rPr>
        <w:t>提升。</w:t>
      </w:r>
      <w:r w:rsidR="004E637C" w:rsidRPr="00AF602B">
        <w:rPr>
          <w:rFonts w:ascii="Times New Roman" w:eastAsia="宋体" w:hAnsi="Times New Roman" w:cs="Times New Roman"/>
          <w:sz w:val="24"/>
          <w:szCs w:val="24"/>
        </w:rPr>
        <w:t>中国特色金融发展之路的根本目标是服务强国建设、民族复兴伟业</w:t>
      </w:r>
      <w:r w:rsidR="004E637C" w:rsidRPr="00B42A60">
        <w:rPr>
          <w:rFonts w:ascii="宋体" w:eastAsia="宋体" w:hAnsi="宋体" w:cs="Times New Roman"/>
          <w:sz w:val="24"/>
          <w:szCs w:val="24"/>
        </w:rPr>
        <w:t>，</w:t>
      </w:r>
      <w:r w:rsidRPr="00B42A60">
        <w:rPr>
          <w:rFonts w:ascii="宋体" w:eastAsia="宋体" w:hAnsi="宋体" w:cs="Times New Roman"/>
          <w:sz w:val="24"/>
          <w:szCs w:val="24"/>
        </w:rPr>
        <w:t>“十五五”</w:t>
      </w:r>
      <w:r w:rsidR="004E3BB3" w:rsidRPr="00B42A60">
        <w:rPr>
          <w:rFonts w:ascii="宋体" w:eastAsia="宋体" w:hAnsi="宋体" w:cs="Times New Roman"/>
          <w:sz w:val="24"/>
          <w:szCs w:val="24"/>
        </w:rPr>
        <w:t>时期</w:t>
      </w:r>
      <w:r w:rsidR="00F7582C" w:rsidRPr="00B42A60">
        <w:rPr>
          <w:rFonts w:ascii="宋体" w:eastAsia="宋体" w:hAnsi="宋体" w:cs="Times New Roman"/>
          <w:sz w:val="24"/>
          <w:szCs w:val="24"/>
        </w:rPr>
        <w:t>，我</w:t>
      </w:r>
      <w:r w:rsidR="00F7582C" w:rsidRPr="00AF602B">
        <w:rPr>
          <w:rFonts w:ascii="Times New Roman" w:eastAsia="宋体" w:hAnsi="Times New Roman" w:cs="Times New Roman"/>
          <w:sz w:val="24"/>
          <w:szCs w:val="24"/>
        </w:rPr>
        <w:t>们要锚</w:t>
      </w:r>
      <w:proofErr w:type="gramStart"/>
      <w:r w:rsidR="00F7582C" w:rsidRPr="00AF602B">
        <w:rPr>
          <w:rFonts w:ascii="Times New Roman" w:eastAsia="宋体" w:hAnsi="Times New Roman" w:cs="Times New Roman"/>
          <w:sz w:val="24"/>
          <w:szCs w:val="24"/>
        </w:rPr>
        <w:t>定建设</w:t>
      </w:r>
      <w:proofErr w:type="gramEnd"/>
      <w:r w:rsidR="00F7582C" w:rsidRPr="00AF602B">
        <w:rPr>
          <w:rFonts w:ascii="Times New Roman" w:eastAsia="宋体" w:hAnsi="Times New Roman" w:cs="Times New Roman"/>
          <w:sz w:val="24"/>
          <w:szCs w:val="24"/>
        </w:rPr>
        <w:t>金融强国目标，扎实推动金融高质量发展</w:t>
      </w:r>
      <w:r w:rsidR="00F7582C" w:rsidRPr="003334AD">
        <w:rPr>
          <w:rFonts w:ascii="Times New Roman" w:eastAsia="宋体" w:hAnsi="Times New Roman" w:cs="Times New Roman"/>
          <w:sz w:val="24"/>
          <w:szCs w:val="24"/>
          <w:vertAlign w:val="superscript"/>
        </w:rPr>
        <w:footnoteReference w:id="18"/>
      </w:r>
      <w:r w:rsidR="00942EC1">
        <w:rPr>
          <w:rFonts w:ascii="Times New Roman" w:eastAsia="宋体" w:hAnsi="Times New Roman" w:cs="Times New Roman" w:hint="eastAsia"/>
          <w:sz w:val="24"/>
          <w:szCs w:val="24"/>
        </w:rPr>
        <w:t>，</w:t>
      </w:r>
      <w:r w:rsidRPr="00AF602B">
        <w:rPr>
          <w:rFonts w:ascii="Times New Roman" w:eastAsia="宋体" w:hAnsi="Times New Roman" w:cs="Times New Roman"/>
          <w:sz w:val="24"/>
          <w:szCs w:val="24"/>
        </w:rPr>
        <w:t>要</w:t>
      </w:r>
      <w:r w:rsidRPr="003334AD">
        <w:rPr>
          <w:rFonts w:ascii="宋体" w:eastAsia="宋体" w:hAnsi="宋体" w:cs="Times New Roman"/>
          <w:sz w:val="24"/>
          <w:szCs w:val="24"/>
        </w:rPr>
        <w:t>在</w:t>
      </w:r>
      <w:r w:rsidR="004E3BB3" w:rsidRPr="003334AD">
        <w:rPr>
          <w:rFonts w:ascii="宋体" w:eastAsia="宋体" w:hAnsi="宋体" w:cs="Times New Roman"/>
          <w:sz w:val="24"/>
          <w:szCs w:val="24"/>
        </w:rPr>
        <w:t>“六个强大”</w:t>
      </w:r>
      <w:r w:rsidR="00942EC1">
        <w:rPr>
          <w:rFonts w:ascii="宋体" w:eastAsia="宋体" w:hAnsi="宋体" w:cs="Times New Roman" w:hint="eastAsia"/>
          <w:sz w:val="24"/>
          <w:szCs w:val="24"/>
        </w:rPr>
        <w:t>上</w:t>
      </w:r>
      <w:r w:rsidR="004E3BB3" w:rsidRPr="003334AD">
        <w:rPr>
          <w:rFonts w:ascii="宋体" w:eastAsia="宋体" w:hAnsi="宋体" w:cs="Times New Roman"/>
          <w:sz w:val="24"/>
          <w:szCs w:val="24"/>
        </w:rPr>
        <w:t>全面</w:t>
      </w:r>
      <w:r w:rsidR="004E3BB3" w:rsidRPr="00AF602B">
        <w:rPr>
          <w:rFonts w:ascii="Times New Roman" w:eastAsia="宋体" w:hAnsi="Times New Roman" w:cs="Times New Roman"/>
          <w:sz w:val="24"/>
          <w:szCs w:val="24"/>
        </w:rPr>
        <w:t>推进，同时在金融基础设施、全球资产布局、</w:t>
      </w:r>
      <w:r w:rsidR="00163D55" w:rsidRPr="00AF602B">
        <w:rPr>
          <w:rFonts w:ascii="Times New Roman" w:eastAsia="宋体" w:hAnsi="Times New Roman" w:cs="Times New Roman"/>
          <w:sz w:val="24"/>
          <w:szCs w:val="24"/>
        </w:rPr>
        <w:t>强大资本市场</w:t>
      </w:r>
      <w:r w:rsidR="004E3BB3" w:rsidRPr="00AF602B">
        <w:rPr>
          <w:rFonts w:ascii="Times New Roman" w:eastAsia="宋体" w:hAnsi="Times New Roman" w:cs="Times New Roman"/>
          <w:sz w:val="24"/>
          <w:szCs w:val="24"/>
        </w:rPr>
        <w:t>建设以及数字金融发展</w:t>
      </w:r>
      <w:r w:rsidRPr="00AF602B">
        <w:rPr>
          <w:rFonts w:ascii="Times New Roman" w:eastAsia="宋体" w:hAnsi="Times New Roman" w:cs="Times New Roman"/>
          <w:sz w:val="24"/>
          <w:szCs w:val="24"/>
        </w:rPr>
        <w:t>等方面</w:t>
      </w:r>
      <w:r w:rsidR="00ED2FD5" w:rsidRPr="00AF602B">
        <w:rPr>
          <w:rFonts w:ascii="Times New Roman" w:eastAsia="宋体" w:hAnsi="Times New Roman" w:cs="Times New Roman"/>
          <w:sz w:val="24"/>
          <w:szCs w:val="24"/>
        </w:rPr>
        <w:t>进行重点</w:t>
      </w:r>
      <w:r w:rsidRPr="00AF602B">
        <w:rPr>
          <w:rFonts w:ascii="Times New Roman" w:eastAsia="宋体" w:hAnsi="Times New Roman" w:cs="Times New Roman"/>
          <w:sz w:val="24"/>
          <w:szCs w:val="24"/>
        </w:rPr>
        <w:t>提升。</w:t>
      </w:r>
    </w:p>
    <w:p w14:paraId="4E39CBF6" w14:textId="5DEB3C7F" w:rsidR="007D24B5" w:rsidRPr="005F7EC5" w:rsidRDefault="00F40FD3" w:rsidP="00AF0AF5">
      <w:pPr>
        <w:adjustRightInd w:val="0"/>
        <w:snapToGrid w:val="0"/>
        <w:spacing w:before="100" w:beforeAutospacing="1" w:after="100" w:afterAutospacing="1" w:line="360" w:lineRule="auto"/>
        <w:ind w:firstLineChars="200" w:firstLine="480"/>
        <w:contextualSpacing/>
        <w:rPr>
          <w:rFonts w:ascii="宋体" w:eastAsia="宋体" w:hAnsi="宋体"/>
          <w:sz w:val="24"/>
          <w:szCs w:val="24"/>
        </w:rPr>
      </w:pPr>
      <w:r w:rsidRPr="005F7EC5">
        <w:rPr>
          <w:rFonts w:ascii="宋体" w:eastAsia="宋体" w:hAnsi="宋体"/>
          <w:sz w:val="24"/>
          <w:szCs w:val="24"/>
        </w:rPr>
        <w:t>（一）“十四五”时期金融发展</w:t>
      </w:r>
      <w:r w:rsidR="00C04C25" w:rsidRPr="005F7EC5">
        <w:rPr>
          <w:rFonts w:ascii="宋体" w:eastAsia="宋体" w:hAnsi="宋体" w:hint="eastAsia"/>
          <w:sz w:val="24"/>
          <w:szCs w:val="24"/>
        </w:rPr>
        <w:t>的主要</w:t>
      </w:r>
      <w:r w:rsidRPr="005F7EC5">
        <w:rPr>
          <w:rFonts w:ascii="宋体" w:eastAsia="宋体" w:hAnsi="宋体"/>
          <w:sz w:val="24"/>
          <w:szCs w:val="24"/>
        </w:rPr>
        <w:t>成就</w:t>
      </w:r>
    </w:p>
    <w:p w14:paraId="3FA9EF48" w14:textId="1363D605" w:rsidR="00532AC9" w:rsidRPr="002959D2" w:rsidRDefault="00F40FD3"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sidRPr="00B42A60">
        <w:rPr>
          <w:rFonts w:ascii="宋体" w:eastAsia="宋体" w:hAnsi="宋体" w:cs="Times New Roman"/>
          <w:sz w:val="24"/>
          <w:szCs w:val="24"/>
        </w:rPr>
        <w:t>“十四五”时期，在党中</w:t>
      </w:r>
      <w:r w:rsidRPr="002959D2">
        <w:rPr>
          <w:rFonts w:ascii="Times New Roman" w:eastAsia="宋体" w:hAnsi="Times New Roman" w:cs="Times New Roman"/>
          <w:sz w:val="24"/>
          <w:szCs w:val="24"/>
        </w:rPr>
        <w:t>央坚强领导下，我国踏上了从全面建成小康社会到开启全面建设社会主义现代化国家新征程，经济社会发展取得了辉煌成就。</w:t>
      </w:r>
      <w:r w:rsidR="004E637C" w:rsidRPr="002959D2">
        <w:rPr>
          <w:rFonts w:ascii="Times New Roman" w:eastAsia="宋体" w:hAnsi="Times New Roman" w:cs="Times New Roman" w:hint="eastAsia"/>
          <w:sz w:val="24"/>
          <w:szCs w:val="24"/>
        </w:rPr>
        <w:t>在此期间，</w:t>
      </w:r>
      <w:r w:rsidR="00C675F3" w:rsidRPr="002959D2">
        <w:rPr>
          <w:rFonts w:ascii="Times New Roman" w:eastAsia="宋体" w:hAnsi="Times New Roman" w:cs="Times New Roman" w:hint="eastAsia"/>
          <w:sz w:val="24"/>
          <w:szCs w:val="24"/>
        </w:rPr>
        <w:t>党对金融工作的全面领导持续完善，</w:t>
      </w:r>
      <w:r w:rsidR="004E637C" w:rsidRPr="002959D2">
        <w:rPr>
          <w:rFonts w:ascii="Times New Roman" w:eastAsia="宋体" w:hAnsi="Times New Roman" w:cs="Times New Roman" w:hint="eastAsia"/>
          <w:sz w:val="24"/>
          <w:szCs w:val="24"/>
        </w:rPr>
        <w:t>金融在服务经济社会发展发挥了重要作用，防范化解金融风险取得新成效，深化金融改革开放取得重要进展，金融业综合实力显著增强</w:t>
      </w:r>
      <w:r w:rsidRPr="002959D2">
        <w:rPr>
          <w:rFonts w:ascii="Times New Roman" w:eastAsia="宋体" w:hAnsi="Times New Roman" w:cs="Times New Roman"/>
          <w:sz w:val="24"/>
          <w:szCs w:val="24"/>
        </w:rPr>
        <w:t>，中国特色金融发展之路越走越宽。</w:t>
      </w:r>
      <w:r w:rsidRPr="002959D2">
        <w:rPr>
          <w:rFonts w:ascii="Times New Roman" w:eastAsia="宋体" w:hAnsi="Times New Roman" w:cs="Times New Roman"/>
          <w:sz w:val="24"/>
          <w:szCs w:val="24"/>
        </w:rPr>
        <w:t>“</w:t>
      </w:r>
      <w:r w:rsidRPr="002959D2">
        <w:rPr>
          <w:rFonts w:ascii="Times New Roman" w:eastAsia="宋体" w:hAnsi="Times New Roman" w:cs="Times New Roman"/>
          <w:sz w:val="24"/>
          <w:szCs w:val="24"/>
        </w:rPr>
        <w:t>十四五</w:t>
      </w:r>
      <w:r w:rsidRPr="002959D2">
        <w:rPr>
          <w:rFonts w:ascii="Times New Roman" w:eastAsia="宋体" w:hAnsi="Times New Roman" w:cs="Times New Roman"/>
          <w:sz w:val="24"/>
          <w:szCs w:val="24"/>
        </w:rPr>
        <w:t>”</w:t>
      </w:r>
      <w:r w:rsidRPr="002959D2">
        <w:rPr>
          <w:rFonts w:ascii="Times New Roman" w:eastAsia="宋体" w:hAnsi="Times New Roman" w:cs="Times New Roman"/>
          <w:sz w:val="24"/>
          <w:szCs w:val="24"/>
        </w:rPr>
        <w:t>时期，我国金融发展取得以下重要进展。</w:t>
      </w:r>
    </w:p>
    <w:p w14:paraId="366DD6BC" w14:textId="78163962" w:rsidR="00532AC9" w:rsidRPr="002959D2" w:rsidRDefault="009D5E44"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sidRPr="002959D2">
        <w:rPr>
          <w:rFonts w:ascii="Times New Roman" w:eastAsia="宋体" w:hAnsi="Times New Roman" w:cs="Times New Roman" w:hint="eastAsia"/>
          <w:sz w:val="24"/>
          <w:szCs w:val="24"/>
        </w:rPr>
        <w:t>持续</w:t>
      </w:r>
      <w:r w:rsidR="00F40FD3" w:rsidRPr="002959D2">
        <w:rPr>
          <w:rFonts w:ascii="Times New Roman" w:eastAsia="宋体" w:hAnsi="Times New Roman" w:cs="Times New Roman"/>
          <w:sz w:val="24"/>
          <w:szCs w:val="24"/>
        </w:rPr>
        <w:t>完善以人民为中心的金融发展观。以人民为中心是我国金融体系改革发展的根本价值取向，是中国</w:t>
      </w:r>
      <w:r w:rsidR="00E47013" w:rsidRPr="002959D2">
        <w:rPr>
          <w:rFonts w:ascii="Times New Roman" w:eastAsia="宋体" w:hAnsi="Times New Roman" w:cs="Times New Roman"/>
          <w:sz w:val="24"/>
          <w:szCs w:val="24"/>
        </w:rPr>
        <w:t>金融体系</w:t>
      </w:r>
      <w:r w:rsidR="00F40FD3" w:rsidRPr="002959D2">
        <w:rPr>
          <w:rFonts w:ascii="Times New Roman" w:eastAsia="宋体" w:hAnsi="Times New Roman" w:cs="Times New Roman"/>
          <w:sz w:val="24"/>
          <w:szCs w:val="24"/>
        </w:rPr>
        <w:t>区别于其他经济体金融体系最显著的特色（张晓晶等，</w:t>
      </w:r>
      <w:r w:rsidR="00F40FD3" w:rsidRPr="002959D2">
        <w:rPr>
          <w:rFonts w:ascii="Times New Roman" w:eastAsia="宋体" w:hAnsi="Times New Roman" w:cs="Times New Roman"/>
          <w:sz w:val="24"/>
          <w:szCs w:val="24"/>
        </w:rPr>
        <w:t>2024</w:t>
      </w:r>
      <w:r w:rsidR="00F40FD3" w:rsidRPr="002959D2">
        <w:rPr>
          <w:rFonts w:ascii="Times New Roman" w:eastAsia="宋体" w:hAnsi="Times New Roman" w:cs="Times New Roman"/>
          <w:sz w:val="24"/>
          <w:szCs w:val="24"/>
        </w:rPr>
        <w:t>）。</w:t>
      </w:r>
      <w:r w:rsidR="00A77E7C" w:rsidRPr="002959D2">
        <w:rPr>
          <w:rFonts w:ascii="Times New Roman" w:eastAsia="宋体" w:hAnsi="Times New Roman" w:cs="Times New Roman" w:hint="eastAsia"/>
          <w:sz w:val="24"/>
          <w:szCs w:val="24"/>
        </w:rPr>
        <w:t>“</w:t>
      </w:r>
      <w:r w:rsidR="00A77E7C" w:rsidRPr="002959D2">
        <w:rPr>
          <w:rFonts w:ascii="Times New Roman" w:eastAsia="宋体" w:hAnsi="Times New Roman" w:cs="Times New Roman"/>
          <w:sz w:val="24"/>
          <w:szCs w:val="24"/>
        </w:rPr>
        <w:t>十四五</w:t>
      </w:r>
      <w:r w:rsidR="00A77E7C" w:rsidRPr="002959D2">
        <w:rPr>
          <w:rFonts w:ascii="Times New Roman" w:eastAsia="宋体" w:hAnsi="Times New Roman" w:cs="Times New Roman" w:hint="eastAsia"/>
          <w:sz w:val="24"/>
          <w:szCs w:val="24"/>
        </w:rPr>
        <w:t>”</w:t>
      </w:r>
      <w:r w:rsidR="00F40FD3" w:rsidRPr="002959D2">
        <w:rPr>
          <w:rFonts w:ascii="Times New Roman" w:eastAsia="宋体" w:hAnsi="Times New Roman" w:cs="Times New Roman"/>
          <w:sz w:val="24"/>
          <w:szCs w:val="24"/>
        </w:rPr>
        <w:t>时期，我国金融体系加快发展普惠金融、绿色金融、资产管理等业务新业态，着力提高金融服务覆盖面、提升金融服务满意度、降低金融体系风险、有效保护金融消费者，有效增进民生福祉、维护广大人民群众的金融权益和根本利益。坚持发展为了人民、发展依靠人民、发展成果由人民共享的金融发展观有效内化于中国式现代化的历史逻辑，回应了新时代中国社会主要矛盾的演进要求，增强了中国特色社会主义的发展底色。</w:t>
      </w:r>
    </w:p>
    <w:p w14:paraId="2ED3B60D" w14:textId="7E6A2109" w:rsidR="00532AC9" w:rsidRPr="002959D2" w:rsidRDefault="00A77E7C"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sidRPr="002959D2">
        <w:rPr>
          <w:rFonts w:ascii="Times New Roman" w:eastAsia="宋体" w:hAnsi="Times New Roman" w:cs="Times New Roman" w:hint="eastAsia"/>
          <w:sz w:val="24"/>
          <w:szCs w:val="24"/>
        </w:rPr>
        <w:t>金融业综合实力显著增强</w:t>
      </w:r>
      <w:r w:rsidR="00F40FD3" w:rsidRPr="002959D2">
        <w:rPr>
          <w:rFonts w:ascii="Times New Roman" w:eastAsia="宋体" w:hAnsi="Times New Roman" w:cs="Times New Roman"/>
          <w:sz w:val="24"/>
          <w:szCs w:val="24"/>
        </w:rPr>
        <w:t>。</w:t>
      </w:r>
      <w:r w:rsidR="00F40FD3" w:rsidRPr="00B23559">
        <w:rPr>
          <w:rFonts w:ascii="宋体" w:eastAsia="宋体" w:hAnsi="宋体" w:cs="Times New Roman"/>
          <w:sz w:val="24"/>
          <w:szCs w:val="24"/>
        </w:rPr>
        <w:t>“十四五”时期</w:t>
      </w:r>
      <w:r w:rsidR="00F40FD3" w:rsidRPr="002959D2">
        <w:rPr>
          <w:rFonts w:ascii="Times New Roman" w:eastAsia="宋体" w:hAnsi="Times New Roman" w:cs="Times New Roman"/>
          <w:sz w:val="24"/>
          <w:szCs w:val="24"/>
        </w:rPr>
        <w:t>，</w:t>
      </w:r>
      <w:r w:rsidR="009D5E44" w:rsidRPr="002959D2">
        <w:rPr>
          <w:rFonts w:ascii="Times New Roman" w:eastAsia="宋体" w:hAnsi="Times New Roman" w:cs="Times New Roman" w:hint="eastAsia"/>
          <w:sz w:val="24"/>
          <w:szCs w:val="24"/>
        </w:rPr>
        <w:t>中国</w:t>
      </w:r>
      <w:r w:rsidR="00F40FD3" w:rsidRPr="002959D2">
        <w:rPr>
          <w:rFonts w:ascii="Times New Roman" w:eastAsia="宋体" w:hAnsi="Times New Roman" w:cs="Times New Roman"/>
          <w:sz w:val="24"/>
          <w:szCs w:val="24"/>
        </w:rPr>
        <w:t>金融不仅有量的合理增长，而且有质的显著提升。</w:t>
      </w:r>
      <w:r w:rsidR="009D5E44" w:rsidRPr="002959D2">
        <w:rPr>
          <w:rFonts w:ascii="Times New Roman" w:eastAsia="宋体" w:hAnsi="Times New Roman" w:cs="Times New Roman" w:hint="eastAsia"/>
          <w:sz w:val="24"/>
          <w:szCs w:val="24"/>
        </w:rPr>
        <w:t>中国</w:t>
      </w:r>
      <w:r w:rsidR="00F40FD3" w:rsidRPr="002959D2">
        <w:rPr>
          <w:rFonts w:ascii="Times New Roman" w:eastAsia="宋体" w:hAnsi="Times New Roman" w:cs="Times New Roman"/>
          <w:sz w:val="24"/>
          <w:szCs w:val="24"/>
        </w:rPr>
        <w:t>金融在全球中的地位和作用不断提升，我国作为全球第二大金融</w:t>
      </w:r>
      <w:r w:rsidR="009D5E44" w:rsidRPr="002959D2">
        <w:rPr>
          <w:rFonts w:ascii="Times New Roman" w:eastAsia="宋体" w:hAnsi="Times New Roman" w:cs="Times New Roman" w:hint="eastAsia"/>
          <w:sz w:val="24"/>
          <w:szCs w:val="24"/>
        </w:rPr>
        <w:t>体系</w:t>
      </w:r>
      <w:r w:rsidR="00F40FD3" w:rsidRPr="002959D2">
        <w:rPr>
          <w:rFonts w:ascii="Times New Roman" w:eastAsia="宋体" w:hAnsi="Times New Roman" w:cs="Times New Roman"/>
          <w:sz w:val="24"/>
          <w:szCs w:val="24"/>
        </w:rPr>
        <w:t>与第一大金融</w:t>
      </w:r>
      <w:r w:rsidR="009D5E44" w:rsidRPr="002959D2">
        <w:rPr>
          <w:rFonts w:ascii="Times New Roman" w:eastAsia="宋体" w:hAnsi="Times New Roman" w:cs="Times New Roman" w:hint="eastAsia"/>
          <w:sz w:val="24"/>
          <w:szCs w:val="24"/>
        </w:rPr>
        <w:t>体系</w:t>
      </w:r>
      <w:r w:rsidR="00F40FD3" w:rsidRPr="002959D2">
        <w:rPr>
          <w:rFonts w:ascii="Times New Roman" w:eastAsia="宋体" w:hAnsi="Times New Roman" w:cs="Times New Roman"/>
          <w:sz w:val="24"/>
          <w:szCs w:val="24"/>
        </w:rPr>
        <w:t>的差距在缩小</w:t>
      </w:r>
      <w:r w:rsidRPr="002959D2">
        <w:rPr>
          <w:rFonts w:ascii="Times New Roman" w:eastAsia="宋体" w:hAnsi="Times New Roman" w:cs="Times New Roman" w:hint="eastAsia"/>
          <w:sz w:val="24"/>
          <w:szCs w:val="24"/>
        </w:rPr>
        <w:t>，国际竞争力进一步提升</w:t>
      </w:r>
      <w:r w:rsidR="00F40FD3" w:rsidRPr="002959D2">
        <w:rPr>
          <w:rFonts w:ascii="Times New Roman" w:eastAsia="宋体" w:hAnsi="Times New Roman" w:cs="Times New Roman"/>
          <w:sz w:val="24"/>
          <w:szCs w:val="24"/>
        </w:rPr>
        <w:t>。</w:t>
      </w:r>
      <w:r w:rsidR="00F40FD3" w:rsidRPr="00B23559">
        <w:rPr>
          <w:rFonts w:ascii="宋体" w:eastAsia="宋体" w:hAnsi="宋体" w:cs="Times New Roman"/>
          <w:sz w:val="24"/>
          <w:szCs w:val="24"/>
        </w:rPr>
        <w:t>“十四五”时期，我国金融市</w:t>
      </w:r>
      <w:r w:rsidR="00894030">
        <w:rPr>
          <w:rFonts w:ascii="Times New Roman" w:eastAsia="宋体" w:hAnsi="Times New Roman" w:cs="Times New Roman"/>
          <w:sz w:val="24"/>
          <w:szCs w:val="24"/>
        </w:rPr>
        <w:t>场和金融机构体系不断完善，金融产品和服务体系日益多元化。银行</w:t>
      </w:r>
      <w:r w:rsidR="00894030">
        <w:rPr>
          <w:rFonts w:ascii="Times New Roman" w:eastAsia="宋体" w:hAnsi="Times New Roman" w:cs="Times New Roman" w:hint="eastAsia"/>
          <w:sz w:val="24"/>
          <w:szCs w:val="24"/>
        </w:rPr>
        <w:t>业</w:t>
      </w:r>
      <w:r w:rsidR="00F40FD3" w:rsidRPr="002959D2">
        <w:rPr>
          <w:rFonts w:ascii="Times New Roman" w:eastAsia="宋体" w:hAnsi="Times New Roman" w:cs="Times New Roman"/>
          <w:sz w:val="24"/>
          <w:szCs w:val="24"/>
        </w:rPr>
        <w:t>、</w:t>
      </w:r>
      <w:r w:rsidR="00894030">
        <w:rPr>
          <w:rFonts w:ascii="Times New Roman" w:eastAsia="宋体" w:hAnsi="Times New Roman" w:cs="Times New Roman" w:hint="eastAsia"/>
          <w:sz w:val="24"/>
          <w:szCs w:val="24"/>
        </w:rPr>
        <w:t>证券业</w:t>
      </w:r>
      <w:r w:rsidR="00F40FD3" w:rsidRPr="002959D2">
        <w:rPr>
          <w:rFonts w:ascii="Times New Roman" w:eastAsia="宋体" w:hAnsi="Times New Roman" w:cs="Times New Roman"/>
          <w:sz w:val="24"/>
          <w:szCs w:val="24"/>
        </w:rPr>
        <w:t>、</w:t>
      </w:r>
      <w:r w:rsidR="00894030">
        <w:rPr>
          <w:rFonts w:ascii="Times New Roman" w:eastAsia="宋体" w:hAnsi="Times New Roman" w:cs="Times New Roman" w:hint="eastAsia"/>
          <w:sz w:val="24"/>
          <w:szCs w:val="24"/>
        </w:rPr>
        <w:t>保险业</w:t>
      </w:r>
      <w:r w:rsidR="00F40FD3" w:rsidRPr="002959D2">
        <w:rPr>
          <w:rFonts w:ascii="Times New Roman" w:eastAsia="宋体" w:hAnsi="Times New Roman" w:cs="Times New Roman"/>
          <w:sz w:val="24"/>
          <w:szCs w:val="24"/>
        </w:rPr>
        <w:t>和外汇市场等蓬勃发展，国有大型金融机构持续</w:t>
      </w:r>
      <w:proofErr w:type="gramStart"/>
      <w:r w:rsidR="00F40FD3" w:rsidRPr="002959D2">
        <w:rPr>
          <w:rFonts w:ascii="Times New Roman" w:eastAsia="宋体" w:hAnsi="Times New Roman" w:cs="Times New Roman"/>
          <w:sz w:val="24"/>
          <w:szCs w:val="24"/>
        </w:rPr>
        <w:t>做优做</w:t>
      </w:r>
      <w:proofErr w:type="gramEnd"/>
      <w:r w:rsidR="00F40FD3" w:rsidRPr="002959D2">
        <w:rPr>
          <w:rFonts w:ascii="Times New Roman" w:eastAsia="宋体" w:hAnsi="Times New Roman" w:cs="Times New Roman"/>
          <w:sz w:val="24"/>
          <w:szCs w:val="24"/>
        </w:rPr>
        <w:t>强，中小金融机构特色化经营不断</w:t>
      </w:r>
      <w:proofErr w:type="gramStart"/>
      <w:r w:rsidR="00F40FD3" w:rsidRPr="002959D2">
        <w:rPr>
          <w:rFonts w:ascii="Times New Roman" w:eastAsia="宋体" w:hAnsi="Times New Roman" w:cs="Times New Roman"/>
          <w:sz w:val="24"/>
          <w:szCs w:val="24"/>
        </w:rPr>
        <w:t>走深走实</w:t>
      </w:r>
      <w:proofErr w:type="gramEnd"/>
      <w:r w:rsidR="00F40FD3" w:rsidRPr="002959D2">
        <w:rPr>
          <w:rFonts w:ascii="Times New Roman" w:eastAsia="宋体" w:hAnsi="Times New Roman" w:cs="Times New Roman"/>
          <w:sz w:val="24"/>
          <w:szCs w:val="24"/>
        </w:rPr>
        <w:t>，政策性金融机构职能日益完善，保险业经济减震器和社会稳定器功能持续发挥，一流投资银行和投资机构建设</w:t>
      </w:r>
      <w:r w:rsidR="009D5E44" w:rsidRPr="002959D2">
        <w:rPr>
          <w:rFonts w:ascii="Times New Roman" w:eastAsia="宋体" w:hAnsi="Times New Roman" w:cs="Times New Roman" w:hint="eastAsia"/>
          <w:sz w:val="24"/>
          <w:szCs w:val="24"/>
        </w:rPr>
        <w:t>积极</w:t>
      </w:r>
      <w:r w:rsidR="00F40FD3" w:rsidRPr="002959D2">
        <w:rPr>
          <w:rFonts w:ascii="Times New Roman" w:eastAsia="宋体" w:hAnsi="Times New Roman" w:cs="Times New Roman"/>
          <w:sz w:val="24"/>
          <w:szCs w:val="24"/>
        </w:rPr>
        <w:t>推进</w:t>
      </w:r>
      <w:r w:rsidR="00C6579F" w:rsidRPr="002959D2">
        <w:rPr>
          <w:rFonts w:ascii="Times New Roman" w:eastAsia="宋体" w:hAnsi="Times New Roman" w:cs="Times New Roman" w:hint="eastAsia"/>
          <w:sz w:val="24"/>
          <w:szCs w:val="24"/>
        </w:rPr>
        <w:t>，多层次资本市场及其制度建设有所深化</w:t>
      </w:r>
      <w:r w:rsidR="00F40FD3" w:rsidRPr="002959D2">
        <w:rPr>
          <w:rFonts w:ascii="Times New Roman" w:eastAsia="宋体" w:hAnsi="Times New Roman" w:cs="Times New Roman"/>
          <w:sz w:val="24"/>
          <w:szCs w:val="24"/>
        </w:rPr>
        <w:t>。</w:t>
      </w:r>
      <w:r w:rsidR="00ED2FD5" w:rsidRPr="002959D2">
        <w:rPr>
          <w:rFonts w:ascii="Times New Roman" w:eastAsia="宋体" w:hAnsi="Times New Roman" w:cs="Times New Roman" w:hint="eastAsia"/>
          <w:sz w:val="24"/>
          <w:szCs w:val="24"/>
        </w:rPr>
        <w:t>数字</w:t>
      </w:r>
      <w:r w:rsidR="00894030">
        <w:rPr>
          <w:rFonts w:ascii="Times New Roman" w:eastAsia="宋体" w:hAnsi="Times New Roman" w:cs="Times New Roman" w:hint="eastAsia"/>
          <w:sz w:val="24"/>
          <w:szCs w:val="24"/>
        </w:rPr>
        <w:t>普惠</w:t>
      </w:r>
      <w:r w:rsidR="00ED2FD5" w:rsidRPr="002959D2">
        <w:rPr>
          <w:rFonts w:ascii="Times New Roman" w:eastAsia="宋体" w:hAnsi="Times New Roman" w:cs="Times New Roman" w:hint="eastAsia"/>
          <w:sz w:val="24"/>
          <w:szCs w:val="24"/>
        </w:rPr>
        <w:t>金融</w:t>
      </w:r>
      <w:r w:rsidR="00894030">
        <w:rPr>
          <w:rFonts w:ascii="Times New Roman" w:eastAsia="宋体" w:hAnsi="Times New Roman" w:cs="Times New Roman" w:hint="eastAsia"/>
          <w:sz w:val="24"/>
          <w:szCs w:val="24"/>
        </w:rPr>
        <w:t>发展迅猛、</w:t>
      </w:r>
      <w:r w:rsidR="00894030">
        <w:rPr>
          <w:rFonts w:ascii="Times New Roman" w:eastAsia="宋体" w:hAnsi="Times New Roman" w:cs="Times New Roman" w:hint="eastAsia"/>
          <w:sz w:val="24"/>
          <w:szCs w:val="24"/>
        </w:rPr>
        <w:lastRenderedPageBreak/>
        <w:t>全球领先</w:t>
      </w:r>
      <w:r w:rsidR="00ED2FD5" w:rsidRPr="002959D2">
        <w:rPr>
          <w:rFonts w:ascii="Times New Roman" w:eastAsia="宋体" w:hAnsi="Times New Roman" w:cs="Times New Roman" w:hint="eastAsia"/>
          <w:sz w:val="24"/>
          <w:szCs w:val="24"/>
        </w:rPr>
        <w:t>，有效提升金融服务的覆盖面、普惠度并显著降低金融服务成本。</w:t>
      </w:r>
    </w:p>
    <w:p w14:paraId="0B5F8775" w14:textId="0FBD9029" w:rsidR="00371692" w:rsidRPr="002959D2" w:rsidRDefault="00F40FD3"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sidRPr="002959D2">
        <w:rPr>
          <w:rFonts w:ascii="Times New Roman" w:eastAsia="宋体" w:hAnsi="Times New Roman" w:cs="Times New Roman"/>
          <w:sz w:val="24"/>
          <w:szCs w:val="24"/>
        </w:rPr>
        <w:t>不断</w:t>
      </w:r>
      <w:r w:rsidR="009D5E44" w:rsidRPr="002959D2">
        <w:rPr>
          <w:rFonts w:ascii="Times New Roman" w:eastAsia="宋体" w:hAnsi="Times New Roman" w:cs="Times New Roman" w:hint="eastAsia"/>
          <w:sz w:val="24"/>
          <w:szCs w:val="24"/>
        </w:rPr>
        <w:t>增强</w:t>
      </w:r>
      <w:r w:rsidRPr="002959D2">
        <w:rPr>
          <w:rFonts w:ascii="Times New Roman" w:eastAsia="宋体" w:hAnsi="Times New Roman" w:cs="Times New Roman"/>
          <w:sz w:val="24"/>
          <w:szCs w:val="24"/>
        </w:rPr>
        <w:t>服务实体经济功能。高质量发展是全面建设社会主义现代化国家的首要任务。实体经济是金融的根基，金融是实体经济的血脉，为服务实体经济是金融的天职</w:t>
      </w:r>
      <w:r w:rsidRPr="00773500">
        <w:rPr>
          <w:rFonts w:ascii="宋体" w:eastAsia="宋体" w:hAnsi="宋体" w:cs="Times New Roman"/>
          <w:sz w:val="24"/>
          <w:szCs w:val="24"/>
        </w:rPr>
        <w:t>。“十四五”时期，我国</w:t>
      </w:r>
      <w:r w:rsidR="00E47013" w:rsidRPr="00773500">
        <w:rPr>
          <w:rFonts w:ascii="宋体" w:eastAsia="宋体" w:hAnsi="宋体" w:cs="Times New Roman"/>
          <w:sz w:val="24"/>
          <w:szCs w:val="24"/>
        </w:rPr>
        <w:t>金融体系</w:t>
      </w:r>
      <w:r w:rsidRPr="00773500">
        <w:rPr>
          <w:rFonts w:ascii="宋体" w:eastAsia="宋体" w:hAnsi="宋体" w:cs="Times New Roman"/>
          <w:sz w:val="24"/>
          <w:szCs w:val="24"/>
        </w:rPr>
        <w:t>坚守初衷，回归</w:t>
      </w:r>
      <w:r w:rsidRPr="002959D2">
        <w:rPr>
          <w:rFonts w:ascii="Times New Roman" w:eastAsia="宋体" w:hAnsi="Times New Roman" w:cs="Times New Roman"/>
          <w:sz w:val="24"/>
          <w:szCs w:val="24"/>
        </w:rPr>
        <w:t>本源，不断加强对</w:t>
      </w:r>
      <w:r w:rsidR="00894030">
        <w:rPr>
          <w:rFonts w:ascii="Times New Roman" w:eastAsia="宋体" w:hAnsi="Times New Roman" w:cs="Times New Roman" w:hint="eastAsia"/>
          <w:sz w:val="24"/>
          <w:szCs w:val="24"/>
        </w:rPr>
        <w:t>实体经济的</w:t>
      </w:r>
      <w:r w:rsidR="00894030">
        <w:rPr>
          <w:rFonts w:ascii="Times New Roman" w:eastAsia="宋体" w:hAnsi="Times New Roman" w:cs="Times New Roman"/>
          <w:sz w:val="24"/>
          <w:szCs w:val="24"/>
        </w:rPr>
        <w:t>服务</w:t>
      </w:r>
      <w:r w:rsidRPr="002959D2">
        <w:rPr>
          <w:rFonts w:ascii="Times New Roman" w:eastAsia="宋体" w:hAnsi="Times New Roman" w:cs="Times New Roman"/>
          <w:sz w:val="24"/>
          <w:szCs w:val="24"/>
        </w:rPr>
        <w:t>功能，着力促进我国经济高质量发展。我国</w:t>
      </w:r>
      <w:r w:rsidR="00E47013" w:rsidRPr="002959D2">
        <w:rPr>
          <w:rFonts w:ascii="Times New Roman" w:eastAsia="宋体" w:hAnsi="Times New Roman" w:cs="Times New Roman"/>
          <w:sz w:val="24"/>
          <w:szCs w:val="24"/>
        </w:rPr>
        <w:t>金融体系</w:t>
      </w:r>
      <w:r w:rsidR="00894030">
        <w:rPr>
          <w:rFonts w:ascii="Times New Roman" w:eastAsia="宋体" w:hAnsi="Times New Roman" w:cs="Times New Roman"/>
          <w:sz w:val="24"/>
          <w:szCs w:val="24"/>
        </w:rPr>
        <w:t>总量与结构并重，存量与增量并举，</w:t>
      </w:r>
      <w:r w:rsidRPr="002959D2">
        <w:rPr>
          <w:rFonts w:ascii="Times New Roman" w:eastAsia="宋体" w:hAnsi="Times New Roman" w:cs="Times New Roman"/>
          <w:sz w:val="24"/>
          <w:szCs w:val="24"/>
        </w:rPr>
        <w:t>构建适应高质量发展的</w:t>
      </w:r>
      <w:r w:rsidR="00894030">
        <w:rPr>
          <w:rFonts w:ascii="Times New Roman" w:eastAsia="宋体" w:hAnsi="Times New Roman" w:cs="Times New Roman" w:hint="eastAsia"/>
          <w:sz w:val="24"/>
          <w:szCs w:val="24"/>
        </w:rPr>
        <w:t>良好</w:t>
      </w:r>
      <w:r w:rsidR="00894030">
        <w:rPr>
          <w:rFonts w:ascii="Times New Roman" w:eastAsia="宋体" w:hAnsi="Times New Roman" w:cs="Times New Roman"/>
          <w:sz w:val="24"/>
          <w:szCs w:val="24"/>
        </w:rPr>
        <w:t>货币金融环境，</w:t>
      </w:r>
      <w:r w:rsidR="00894030">
        <w:rPr>
          <w:rFonts w:ascii="Times New Roman" w:eastAsia="宋体" w:hAnsi="Times New Roman" w:cs="Times New Roman" w:hint="eastAsia"/>
          <w:sz w:val="24"/>
          <w:szCs w:val="24"/>
        </w:rPr>
        <w:t>有效</w:t>
      </w:r>
      <w:r w:rsidRPr="002959D2">
        <w:rPr>
          <w:rFonts w:ascii="Times New Roman" w:eastAsia="宋体" w:hAnsi="Times New Roman" w:cs="Times New Roman"/>
          <w:sz w:val="24"/>
          <w:szCs w:val="24"/>
        </w:rPr>
        <w:t>提升现代金融监管水平</w:t>
      </w:r>
      <w:r w:rsidR="00894030">
        <w:rPr>
          <w:rFonts w:ascii="Times New Roman" w:eastAsia="宋体" w:hAnsi="Times New Roman" w:cs="Times New Roman" w:hint="eastAsia"/>
          <w:sz w:val="24"/>
          <w:szCs w:val="24"/>
        </w:rPr>
        <w:t>，</w:t>
      </w:r>
      <w:r w:rsidRPr="002959D2">
        <w:rPr>
          <w:rFonts w:ascii="Times New Roman" w:eastAsia="宋体" w:hAnsi="Times New Roman" w:cs="Times New Roman"/>
          <w:sz w:val="24"/>
          <w:szCs w:val="24"/>
        </w:rPr>
        <w:t>打造公平高效金融市场环境，着力统筹内外两个市场和内外两个大局，有效促进</w:t>
      </w:r>
      <w:r w:rsidR="00894030">
        <w:rPr>
          <w:rFonts w:ascii="Times New Roman" w:eastAsia="宋体" w:hAnsi="Times New Roman" w:cs="Times New Roman" w:hint="eastAsia"/>
          <w:sz w:val="24"/>
          <w:szCs w:val="24"/>
        </w:rPr>
        <w:t>了</w:t>
      </w:r>
      <w:r w:rsidRPr="002959D2">
        <w:rPr>
          <w:rFonts w:ascii="Times New Roman" w:eastAsia="宋体" w:hAnsi="Times New Roman" w:cs="Times New Roman"/>
          <w:sz w:val="24"/>
          <w:szCs w:val="24"/>
        </w:rPr>
        <w:t>经济高效平稳发展。</w:t>
      </w:r>
    </w:p>
    <w:p w14:paraId="0AFBDCB4" w14:textId="07A44DF4" w:rsidR="00532AC9" w:rsidRPr="00773500" w:rsidRDefault="00371692" w:rsidP="00AF0AF5">
      <w:pPr>
        <w:adjustRightInd w:val="0"/>
        <w:snapToGrid w:val="0"/>
        <w:spacing w:before="100" w:beforeAutospacing="1" w:after="100" w:afterAutospacing="1" w:line="360" w:lineRule="auto"/>
        <w:ind w:firstLineChars="200" w:firstLine="480"/>
        <w:contextualSpacing/>
        <w:rPr>
          <w:rFonts w:ascii="宋体" w:eastAsia="宋体" w:hAnsi="宋体" w:cs="Times New Roman"/>
          <w:sz w:val="24"/>
          <w:szCs w:val="24"/>
        </w:rPr>
      </w:pPr>
      <w:r w:rsidRPr="002959D2">
        <w:rPr>
          <w:rFonts w:ascii="Times New Roman" w:eastAsia="宋体" w:hAnsi="Times New Roman" w:cs="Times New Roman" w:hint="eastAsia"/>
          <w:sz w:val="24"/>
          <w:szCs w:val="24"/>
        </w:rPr>
        <w:t>金融高水平开放取得重要进</w:t>
      </w:r>
      <w:r w:rsidRPr="00773500">
        <w:rPr>
          <w:rFonts w:ascii="宋体" w:eastAsia="宋体" w:hAnsi="宋体" w:cs="Times New Roman" w:hint="eastAsia"/>
          <w:sz w:val="24"/>
          <w:szCs w:val="24"/>
        </w:rPr>
        <w:t>展。“十四五”时期，高水</w:t>
      </w:r>
      <w:r w:rsidRPr="002959D2">
        <w:rPr>
          <w:rFonts w:ascii="Times New Roman" w:eastAsia="宋体" w:hAnsi="Times New Roman" w:cs="Times New Roman" w:hint="eastAsia"/>
          <w:sz w:val="24"/>
          <w:szCs w:val="24"/>
        </w:rPr>
        <w:t>平金融开放不断扩大，人民币国际化和金融双向开放取得新进展。</w:t>
      </w:r>
      <w:r w:rsidRPr="002959D2">
        <w:rPr>
          <w:rFonts w:ascii="Times New Roman" w:eastAsia="宋体" w:hAnsi="Times New Roman" w:cs="Times New Roman"/>
          <w:sz w:val="24"/>
          <w:szCs w:val="24"/>
        </w:rPr>
        <w:t>人民币国际化</w:t>
      </w:r>
      <w:r w:rsidRPr="002959D2">
        <w:rPr>
          <w:rFonts w:ascii="Times New Roman" w:eastAsia="宋体" w:hAnsi="Times New Roman" w:cs="Times New Roman" w:hint="eastAsia"/>
          <w:sz w:val="24"/>
          <w:szCs w:val="24"/>
        </w:rPr>
        <w:t>从</w:t>
      </w:r>
      <w:r w:rsidRPr="002959D2">
        <w:rPr>
          <w:rFonts w:ascii="Times New Roman" w:eastAsia="宋体" w:hAnsi="Times New Roman" w:cs="Times New Roman"/>
          <w:sz w:val="24"/>
          <w:szCs w:val="24"/>
        </w:rPr>
        <w:t>人民币结算、离岸人民币金融市场以及双边本币结算为主</w:t>
      </w:r>
      <w:r w:rsidRPr="00773500">
        <w:rPr>
          <w:rFonts w:ascii="宋体" w:eastAsia="宋体" w:hAnsi="宋体" w:cs="Times New Roman"/>
          <w:sz w:val="24"/>
          <w:szCs w:val="24"/>
        </w:rPr>
        <w:t>的旧“三位一体”策略</w:t>
      </w:r>
      <w:r w:rsidRPr="00773500">
        <w:rPr>
          <w:rFonts w:ascii="宋体" w:eastAsia="宋体" w:hAnsi="宋体" w:cs="Times New Roman" w:hint="eastAsia"/>
          <w:sz w:val="24"/>
          <w:szCs w:val="24"/>
        </w:rPr>
        <w:t>，</w:t>
      </w:r>
      <w:r w:rsidRPr="00773500">
        <w:rPr>
          <w:rFonts w:ascii="宋体" w:eastAsia="宋体" w:hAnsi="宋体" w:cs="Times New Roman"/>
          <w:sz w:val="24"/>
          <w:szCs w:val="24"/>
        </w:rPr>
        <w:t>转向新“三位一体”策略，侧重发展人民币计价原油期货、开放在岸金融市场、在“一带一路”培养真实</w:t>
      </w:r>
      <w:r w:rsidRPr="002959D2">
        <w:rPr>
          <w:rFonts w:ascii="Times New Roman" w:eastAsia="宋体" w:hAnsi="Times New Roman" w:cs="Times New Roman"/>
          <w:sz w:val="24"/>
          <w:szCs w:val="24"/>
        </w:rPr>
        <w:t>需求</w:t>
      </w:r>
      <w:r w:rsidR="00780D7D">
        <w:rPr>
          <w:rFonts w:ascii="Times New Roman" w:eastAsia="宋体" w:hAnsi="Times New Roman" w:cs="Times New Roman" w:hint="eastAsia"/>
          <w:sz w:val="24"/>
          <w:szCs w:val="24"/>
        </w:rPr>
        <w:t>（张明和王</w:t>
      </w:r>
      <w:proofErr w:type="gramStart"/>
      <w:r w:rsidR="00780D7D">
        <w:rPr>
          <w:rFonts w:ascii="Times New Roman" w:eastAsia="宋体" w:hAnsi="Times New Roman" w:cs="Times New Roman" w:hint="eastAsia"/>
          <w:sz w:val="24"/>
          <w:szCs w:val="24"/>
        </w:rPr>
        <w:t>喆</w:t>
      </w:r>
      <w:proofErr w:type="gramEnd"/>
      <w:r w:rsidR="00780D7D">
        <w:rPr>
          <w:rFonts w:ascii="Times New Roman" w:eastAsia="宋体" w:hAnsi="Times New Roman" w:cs="Times New Roman" w:hint="eastAsia"/>
          <w:sz w:val="24"/>
          <w:szCs w:val="24"/>
        </w:rPr>
        <w:t>，</w:t>
      </w:r>
      <w:r w:rsidR="00780D7D">
        <w:rPr>
          <w:rFonts w:ascii="Times New Roman" w:eastAsia="宋体" w:hAnsi="Times New Roman" w:cs="Times New Roman" w:hint="eastAsia"/>
          <w:sz w:val="24"/>
          <w:szCs w:val="24"/>
        </w:rPr>
        <w:t>2</w:t>
      </w:r>
      <w:r w:rsidR="00780D7D">
        <w:rPr>
          <w:rFonts w:ascii="Times New Roman" w:eastAsia="宋体" w:hAnsi="Times New Roman" w:cs="Times New Roman"/>
          <w:sz w:val="24"/>
          <w:szCs w:val="24"/>
        </w:rPr>
        <w:t>024</w:t>
      </w:r>
      <w:r w:rsidR="00780D7D">
        <w:rPr>
          <w:rFonts w:ascii="Times New Roman" w:eastAsia="宋体" w:hAnsi="Times New Roman" w:cs="Times New Roman" w:hint="eastAsia"/>
          <w:sz w:val="24"/>
          <w:szCs w:val="24"/>
        </w:rPr>
        <w:t>）</w:t>
      </w:r>
      <w:r w:rsidR="00773500">
        <w:rPr>
          <w:rFonts w:ascii="Times New Roman" w:eastAsia="宋体" w:hAnsi="Times New Roman" w:cs="Times New Roman" w:hint="eastAsia"/>
          <w:sz w:val="24"/>
          <w:szCs w:val="24"/>
        </w:rPr>
        <w:t>。</w:t>
      </w:r>
      <w:r w:rsidRPr="00773500">
        <w:rPr>
          <w:rFonts w:ascii="宋体" w:eastAsia="宋体" w:hAnsi="宋体" w:cs="Times New Roman" w:hint="eastAsia"/>
          <w:sz w:val="24"/>
          <w:szCs w:val="24"/>
        </w:rPr>
        <w:t>“十四五”时期</w:t>
      </w:r>
      <w:r w:rsidRPr="00773500">
        <w:rPr>
          <w:rFonts w:ascii="宋体" w:eastAsia="宋体" w:hAnsi="宋体" w:cs="Times New Roman"/>
          <w:sz w:val="24"/>
          <w:szCs w:val="24"/>
        </w:rPr>
        <w:t>，在新“三位一体”推动下，人民币跨境结算规模屡创新高，结算占比攀升，大宗商品结算计价功能进展良好。</w:t>
      </w:r>
      <w:r w:rsidR="00634862" w:rsidRPr="00773500">
        <w:rPr>
          <w:rFonts w:ascii="宋体" w:eastAsia="宋体" w:hAnsi="宋体" w:cs="Times New Roman" w:hint="eastAsia"/>
          <w:sz w:val="24"/>
          <w:szCs w:val="24"/>
        </w:rPr>
        <w:t>与此同时，银行、保险、股票、债券、基金、衍生品和外汇市场双向开放不断深化，股票通、债券通、跨境理财通、</w:t>
      </w:r>
      <w:proofErr w:type="gramStart"/>
      <w:r w:rsidR="00634862" w:rsidRPr="00773500">
        <w:rPr>
          <w:rFonts w:ascii="宋体" w:eastAsia="宋体" w:hAnsi="宋体" w:cs="Times New Roman" w:hint="eastAsia"/>
          <w:sz w:val="24"/>
          <w:szCs w:val="24"/>
        </w:rPr>
        <w:t>沪伦通</w:t>
      </w:r>
      <w:proofErr w:type="gramEnd"/>
      <w:r w:rsidR="00634862" w:rsidRPr="00773500">
        <w:rPr>
          <w:rFonts w:ascii="宋体" w:eastAsia="宋体" w:hAnsi="宋体" w:cs="Times New Roman" w:hint="eastAsia"/>
          <w:sz w:val="24"/>
          <w:szCs w:val="24"/>
        </w:rPr>
        <w:t>等金融市场互联互通创新优化，金融市场开放逐步形成新格局，海外投资者对华金融市场投资便利性程度不断提升。</w:t>
      </w:r>
    </w:p>
    <w:p w14:paraId="7B4E9FE8" w14:textId="04268913" w:rsidR="00532AC9" w:rsidRPr="002959D2" w:rsidRDefault="00F40FD3"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sidRPr="002959D2">
        <w:rPr>
          <w:rFonts w:ascii="Times New Roman" w:eastAsia="宋体" w:hAnsi="Times New Roman" w:cs="Times New Roman"/>
          <w:sz w:val="24"/>
          <w:szCs w:val="24"/>
        </w:rPr>
        <w:t>牢牢守住不发生系统性金融风险底线。改革开放以来，我国缔造了人类历史上中高速增长的经济奇迹，同时，我国还缔造了没有发生系统性金融危机的又一奇迹。在党中央坚持把风险防控作为金融工作永恒主题的要求下，</w:t>
      </w:r>
      <w:r w:rsidR="009D5E44" w:rsidRPr="002959D2">
        <w:rPr>
          <w:rFonts w:ascii="Times New Roman" w:eastAsia="宋体" w:hAnsi="Times New Roman" w:cs="Times New Roman" w:hint="eastAsia"/>
          <w:sz w:val="24"/>
          <w:szCs w:val="24"/>
        </w:rPr>
        <w:t>中国金融</w:t>
      </w:r>
      <w:r w:rsidR="009D5E44" w:rsidRPr="002959D2">
        <w:rPr>
          <w:rFonts w:ascii="Times New Roman" w:eastAsia="宋体" w:hAnsi="Times New Roman" w:cs="Times New Roman"/>
          <w:sz w:val="24"/>
          <w:szCs w:val="24"/>
        </w:rPr>
        <w:t>以全面加强监管、防范化解风险为重点，坚持稳中求进工作总基调，统筹发展和安全，牢牢守住不发生系统性金融风险的底线</w:t>
      </w:r>
      <w:r w:rsidR="009D5E44" w:rsidRPr="00E47551">
        <w:rPr>
          <w:rFonts w:ascii="Times New Roman" w:eastAsia="宋体" w:hAnsi="Times New Roman" w:cs="Times New Roman"/>
          <w:sz w:val="24"/>
          <w:szCs w:val="24"/>
          <w:vertAlign w:val="superscript"/>
        </w:rPr>
        <w:footnoteReference w:id="19"/>
      </w:r>
      <w:r w:rsidR="009D5E44" w:rsidRPr="002959D2">
        <w:rPr>
          <w:rFonts w:ascii="Times New Roman" w:eastAsia="宋体" w:hAnsi="Times New Roman" w:cs="Times New Roman" w:hint="eastAsia"/>
          <w:sz w:val="24"/>
          <w:szCs w:val="24"/>
        </w:rPr>
        <w:t>。</w:t>
      </w:r>
      <w:r w:rsidR="009D5E44" w:rsidRPr="00E47551">
        <w:rPr>
          <w:rFonts w:ascii="宋体" w:eastAsia="宋体" w:hAnsi="宋体" w:cs="Times New Roman"/>
          <w:sz w:val="24"/>
          <w:szCs w:val="24"/>
        </w:rPr>
        <w:t>“十四五”时期，</w:t>
      </w:r>
      <w:r w:rsidR="009D5E44" w:rsidRPr="00E47551">
        <w:rPr>
          <w:rFonts w:ascii="宋体" w:eastAsia="宋体" w:hAnsi="宋体" w:cs="Times New Roman" w:hint="eastAsia"/>
          <w:sz w:val="24"/>
          <w:szCs w:val="24"/>
        </w:rPr>
        <w:t>我国重点</w:t>
      </w:r>
      <w:r w:rsidRPr="00E47551">
        <w:rPr>
          <w:rFonts w:ascii="宋体" w:eastAsia="宋体" w:hAnsi="宋体" w:cs="Times New Roman"/>
          <w:sz w:val="24"/>
          <w:szCs w:val="24"/>
        </w:rPr>
        <w:t>处置了影子银行、地方债务、房地产市场、中小金融机构和外部冲击等领域的金融风险，整体保障了金融系统稳定和安全。在风险防范、应</w:t>
      </w:r>
      <w:r w:rsidRPr="002959D2">
        <w:rPr>
          <w:rFonts w:ascii="Times New Roman" w:eastAsia="宋体" w:hAnsi="Times New Roman" w:cs="Times New Roman"/>
          <w:sz w:val="24"/>
          <w:szCs w:val="24"/>
        </w:rPr>
        <w:t>对和化解中，</w:t>
      </w:r>
      <w:r w:rsidR="00C675F3" w:rsidRPr="002959D2">
        <w:rPr>
          <w:rFonts w:ascii="Times New Roman" w:eastAsia="宋体" w:hAnsi="Times New Roman" w:cs="Times New Roman"/>
          <w:sz w:val="24"/>
          <w:szCs w:val="24"/>
        </w:rPr>
        <w:t>坚持金融发展与风险防控有效统筹，将发展作为风险防范的有效手段和根本之策</w:t>
      </w:r>
      <w:r w:rsidR="00C675F3" w:rsidRPr="002959D2">
        <w:rPr>
          <w:rFonts w:ascii="Times New Roman" w:eastAsia="宋体" w:hAnsi="Times New Roman" w:cs="Times New Roman" w:hint="eastAsia"/>
          <w:sz w:val="24"/>
          <w:szCs w:val="24"/>
        </w:rPr>
        <w:t>，</w:t>
      </w:r>
      <w:r w:rsidRPr="002959D2">
        <w:rPr>
          <w:rFonts w:ascii="Times New Roman" w:eastAsia="宋体" w:hAnsi="Times New Roman" w:cs="Times New Roman"/>
          <w:sz w:val="24"/>
          <w:szCs w:val="24"/>
        </w:rPr>
        <w:t>逐步形成了具有中国特色的金融风险防控之路</w:t>
      </w:r>
      <w:r w:rsidR="00C675F3" w:rsidRPr="002959D2">
        <w:rPr>
          <w:rFonts w:ascii="Times New Roman" w:eastAsia="宋体" w:hAnsi="Times New Roman" w:cs="Times New Roman" w:hint="eastAsia"/>
          <w:sz w:val="24"/>
          <w:szCs w:val="24"/>
        </w:rPr>
        <w:t>。</w:t>
      </w:r>
    </w:p>
    <w:p w14:paraId="1259822B" w14:textId="38DC1D85" w:rsidR="00532AC9" w:rsidRPr="00273280" w:rsidRDefault="00F40FD3" w:rsidP="00AF0AF5">
      <w:pPr>
        <w:adjustRightInd w:val="0"/>
        <w:snapToGrid w:val="0"/>
        <w:spacing w:before="100" w:beforeAutospacing="1" w:after="100" w:afterAutospacing="1" w:line="360" w:lineRule="auto"/>
        <w:ind w:firstLineChars="200" w:firstLine="480"/>
        <w:contextualSpacing/>
        <w:rPr>
          <w:rFonts w:ascii="宋体" w:eastAsia="宋体" w:hAnsi="宋体" w:cs="Times New Roman"/>
          <w:sz w:val="24"/>
          <w:szCs w:val="24"/>
        </w:rPr>
      </w:pPr>
      <w:r w:rsidRPr="002959D2">
        <w:rPr>
          <w:rFonts w:ascii="Times New Roman" w:eastAsia="宋体" w:hAnsi="Times New Roman" w:cs="Times New Roman"/>
          <w:sz w:val="24"/>
          <w:szCs w:val="24"/>
        </w:rPr>
        <w:t>（</w:t>
      </w:r>
      <w:r w:rsidRPr="00273280">
        <w:rPr>
          <w:rFonts w:ascii="宋体" w:eastAsia="宋体" w:hAnsi="宋体" w:cs="Times New Roman"/>
          <w:sz w:val="24"/>
          <w:szCs w:val="24"/>
        </w:rPr>
        <w:t>二）“十五五”时期金融发展</w:t>
      </w:r>
      <w:r w:rsidR="00C04C25" w:rsidRPr="00273280">
        <w:rPr>
          <w:rFonts w:ascii="宋体" w:eastAsia="宋体" w:hAnsi="宋体" w:cs="Times New Roman" w:hint="eastAsia"/>
          <w:sz w:val="24"/>
          <w:szCs w:val="24"/>
        </w:rPr>
        <w:t>的战略</w:t>
      </w:r>
      <w:r w:rsidRPr="00273280">
        <w:rPr>
          <w:rFonts w:ascii="宋体" w:eastAsia="宋体" w:hAnsi="宋体" w:cs="Times New Roman"/>
          <w:sz w:val="24"/>
          <w:szCs w:val="24"/>
        </w:rPr>
        <w:t>重点</w:t>
      </w:r>
    </w:p>
    <w:p w14:paraId="0EE35AE7" w14:textId="25182C8D" w:rsidR="00573FF6" w:rsidRPr="002959D2" w:rsidRDefault="00E5589B"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sidRPr="002959D2">
        <w:rPr>
          <w:rFonts w:ascii="Times New Roman" w:eastAsia="宋体" w:hAnsi="Times New Roman" w:cs="Times New Roman" w:hint="eastAsia"/>
          <w:sz w:val="24"/>
          <w:szCs w:val="24"/>
        </w:rPr>
        <w:t>中国金融强国建设</w:t>
      </w:r>
      <w:r w:rsidR="00573FF6" w:rsidRPr="002959D2">
        <w:rPr>
          <w:rFonts w:ascii="Times New Roman" w:eastAsia="宋体" w:hAnsi="Times New Roman" w:cs="Times New Roman" w:hint="eastAsia"/>
          <w:sz w:val="24"/>
          <w:szCs w:val="24"/>
        </w:rPr>
        <w:t>是一个长期的过程，“六个强大”一系列核心关键要素的</w:t>
      </w:r>
      <w:r w:rsidR="00573FF6" w:rsidRPr="002959D2">
        <w:rPr>
          <w:rFonts w:ascii="Times New Roman" w:eastAsia="宋体" w:hAnsi="Times New Roman" w:cs="Times New Roman" w:hint="eastAsia"/>
          <w:sz w:val="24"/>
          <w:szCs w:val="24"/>
        </w:rPr>
        <w:lastRenderedPageBreak/>
        <w:t>发展还需久久为功</w:t>
      </w:r>
      <w:r w:rsidRPr="002959D2">
        <w:rPr>
          <w:rFonts w:ascii="Times New Roman" w:eastAsia="宋体" w:hAnsi="Times New Roman" w:cs="Times New Roman" w:hint="eastAsia"/>
          <w:sz w:val="24"/>
          <w:szCs w:val="24"/>
        </w:rPr>
        <w:t>，金融支持中国式现代化</w:t>
      </w:r>
      <w:r w:rsidR="00BE33C0">
        <w:rPr>
          <w:rFonts w:ascii="Times New Roman" w:eastAsia="宋体" w:hAnsi="Times New Roman" w:cs="Times New Roman" w:hint="eastAsia"/>
          <w:sz w:val="24"/>
          <w:szCs w:val="24"/>
        </w:rPr>
        <w:t>还</w:t>
      </w:r>
      <w:r w:rsidR="001255C0" w:rsidRPr="002959D2">
        <w:rPr>
          <w:rFonts w:ascii="Times New Roman" w:eastAsia="宋体" w:hAnsi="Times New Roman" w:cs="Times New Roman" w:hint="eastAsia"/>
          <w:sz w:val="24"/>
          <w:szCs w:val="24"/>
        </w:rPr>
        <w:t>需持续用力。</w:t>
      </w:r>
      <w:r w:rsidR="003D06F1" w:rsidRPr="002959D2">
        <w:rPr>
          <w:rFonts w:ascii="Times New Roman" w:eastAsia="宋体" w:hAnsi="Times New Roman" w:cs="Times New Roman" w:hint="eastAsia"/>
          <w:sz w:val="24"/>
          <w:szCs w:val="24"/>
        </w:rPr>
        <w:t>特朗普新政府</w:t>
      </w:r>
      <w:r w:rsidRPr="002959D2">
        <w:rPr>
          <w:rFonts w:ascii="Times New Roman" w:eastAsia="宋体" w:hAnsi="Times New Roman" w:cs="Times New Roman" w:hint="eastAsia"/>
          <w:sz w:val="24"/>
          <w:szCs w:val="24"/>
        </w:rPr>
        <w:t>可能</w:t>
      </w:r>
      <w:r w:rsidR="003D06F1" w:rsidRPr="002959D2">
        <w:rPr>
          <w:rFonts w:ascii="Times New Roman" w:eastAsia="宋体" w:hAnsi="Times New Roman" w:cs="Times New Roman" w:hint="eastAsia"/>
          <w:sz w:val="24"/>
          <w:szCs w:val="24"/>
        </w:rPr>
        <w:t>会给中国金融强国建设带来诸多不确定性</w:t>
      </w:r>
      <w:r w:rsidRPr="002959D2">
        <w:rPr>
          <w:rFonts w:ascii="Times New Roman" w:eastAsia="宋体" w:hAnsi="Times New Roman" w:cs="Times New Roman" w:hint="eastAsia"/>
          <w:sz w:val="24"/>
          <w:szCs w:val="24"/>
        </w:rPr>
        <w:t>，</w:t>
      </w:r>
      <w:r w:rsidR="00BE33C0">
        <w:rPr>
          <w:rFonts w:ascii="Times New Roman" w:eastAsia="宋体" w:hAnsi="Times New Roman" w:cs="Times New Roman" w:hint="eastAsia"/>
          <w:sz w:val="24"/>
          <w:szCs w:val="24"/>
        </w:rPr>
        <w:t>美国货币金融政策</w:t>
      </w:r>
      <w:r w:rsidRPr="002959D2">
        <w:rPr>
          <w:rFonts w:ascii="Times New Roman" w:eastAsia="宋体" w:hAnsi="Times New Roman" w:cs="Times New Roman" w:hint="eastAsia"/>
          <w:sz w:val="24"/>
          <w:szCs w:val="24"/>
        </w:rPr>
        <w:t>是中国金融发展内外统筹的关键因素</w:t>
      </w:r>
      <w:r w:rsidR="003D06F1" w:rsidRPr="002959D2">
        <w:rPr>
          <w:rFonts w:ascii="Times New Roman" w:eastAsia="宋体" w:hAnsi="Times New Roman" w:cs="Times New Roman" w:hint="eastAsia"/>
          <w:sz w:val="24"/>
          <w:szCs w:val="24"/>
        </w:rPr>
        <w:t>。中美两国经济金融体系紧密关联捆绑在一起，双方相互持有大量利益，合则两利，斗则</w:t>
      </w:r>
      <w:r w:rsidR="006071C7" w:rsidRPr="002959D2">
        <w:rPr>
          <w:rFonts w:ascii="Times New Roman" w:eastAsia="宋体" w:hAnsi="Times New Roman" w:cs="Times New Roman" w:hint="eastAsia"/>
          <w:sz w:val="24"/>
          <w:szCs w:val="24"/>
        </w:rPr>
        <w:t>俱</w:t>
      </w:r>
      <w:r w:rsidR="003D06F1" w:rsidRPr="002959D2">
        <w:rPr>
          <w:rFonts w:ascii="Times New Roman" w:eastAsia="宋体" w:hAnsi="Times New Roman" w:cs="Times New Roman" w:hint="eastAsia"/>
          <w:sz w:val="24"/>
          <w:szCs w:val="24"/>
        </w:rPr>
        <w:t>损</w:t>
      </w:r>
      <w:r w:rsidR="007259BE" w:rsidRPr="002959D2">
        <w:rPr>
          <w:rFonts w:ascii="Times New Roman" w:eastAsia="宋体" w:hAnsi="Times New Roman" w:cs="Times New Roman" w:hint="eastAsia"/>
          <w:sz w:val="24"/>
          <w:szCs w:val="24"/>
        </w:rPr>
        <w:t>，中国坚持以和为贵的合作原则，但也不畏惧任何遏制与斗争</w:t>
      </w:r>
      <w:r w:rsidR="003D06F1" w:rsidRPr="002959D2">
        <w:rPr>
          <w:rFonts w:ascii="Times New Roman" w:eastAsia="宋体" w:hAnsi="Times New Roman" w:cs="Times New Roman" w:hint="eastAsia"/>
          <w:sz w:val="24"/>
          <w:szCs w:val="24"/>
        </w:rPr>
        <w:t>。</w:t>
      </w:r>
      <w:r w:rsidR="007259BE" w:rsidRPr="002959D2">
        <w:rPr>
          <w:rFonts w:ascii="Times New Roman" w:eastAsia="宋体" w:hAnsi="Times New Roman" w:cs="Times New Roman" w:hint="eastAsia"/>
          <w:sz w:val="24"/>
          <w:szCs w:val="24"/>
        </w:rPr>
        <w:t>当然，</w:t>
      </w:r>
      <w:r w:rsidR="00573FF6" w:rsidRPr="002959D2">
        <w:rPr>
          <w:rFonts w:ascii="Times New Roman" w:eastAsia="宋体" w:hAnsi="Times New Roman" w:cs="Times New Roman" w:hint="eastAsia"/>
          <w:sz w:val="24"/>
          <w:szCs w:val="24"/>
        </w:rPr>
        <w:t>在金融基础设施、</w:t>
      </w:r>
      <w:r w:rsidR="003D06F1" w:rsidRPr="002959D2">
        <w:rPr>
          <w:rFonts w:ascii="Times New Roman" w:eastAsia="宋体" w:hAnsi="Times New Roman" w:cs="Times New Roman" w:hint="eastAsia"/>
          <w:sz w:val="24"/>
          <w:szCs w:val="24"/>
        </w:rPr>
        <w:t>强大资本市场、</w:t>
      </w:r>
      <w:r w:rsidR="00573FF6" w:rsidRPr="002959D2">
        <w:rPr>
          <w:rFonts w:ascii="Times New Roman" w:eastAsia="宋体" w:hAnsi="Times New Roman" w:cs="Times New Roman" w:hint="eastAsia"/>
          <w:sz w:val="24"/>
          <w:szCs w:val="24"/>
        </w:rPr>
        <w:t>全球资产布局以及数字金融等方面，</w:t>
      </w:r>
      <w:r w:rsidR="003D06F1" w:rsidRPr="002959D2">
        <w:rPr>
          <w:rFonts w:ascii="Times New Roman" w:eastAsia="宋体" w:hAnsi="Times New Roman" w:cs="Times New Roman" w:hint="eastAsia"/>
          <w:sz w:val="24"/>
          <w:szCs w:val="24"/>
        </w:rPr>
        <w:t>中国</w:t>
      </w:r>
      <w:r w:rsidRPr="002959D2">
        <w:rPr>
          <w:rFonts w:ascii="Times New Roman" w:eastAsia="宋体" w:hAnsi="Times New Roman" w:cs="Times New Roman" w:hint="eastAsia"/>
          <w:sz w:val="24"/>
          <w:szCs w:val="24"/>
        </w:rPr>
        <w:t>金融</w:t>
      </w:r>
      <w:r w:rsidR="00573FF6" w:rsidRPr="002959D2">
        <w:rPr>
          <w:rFonts w:ascii="Times New Roman" w:eastAsia="宋体" w:hAnsi="Times New Roman" w:cs="Times New Roman" w:hint="eastAsia"/>
          <w:sz w:val="24"/>
          <w:szCs w:val="24"/>
        </w:rPr>
        <w:t>离中国式现代化内在要求仍有不足，</w:t>
      </w:r>
      <w:r w:rsidR="003D06F1" w:rsidRPr="002959D2">
        <w:rPr>
          <w:rFonts w:ascii="Times New Roman" w:eastAsia="宋体" w:hAnsi="Times New Roman" w:cs="Times New Roman" w:hint="eastAsia"/>
          <w:sz w:val="24"/>
          <w:szCs w:val="24"/>
        </w:rPr>
        <w:t>离大国博弈扭抱缠斗的潜在要求仍有差距，</w:t>
      </w:r>
      <w:r w:rsidR="00573FF6" w:rsidRPr="002959D2">
        <w:rPr>
          <w:rFonts w:ascii="Times New Roman" w:eastAsia="宋体" w:hAnsi="Times New Roman" w:cs="Times New Roman" w:hint="eastAsia"/>
          <w:sz w:val="24"/>
          <w:szCs w:val="24"/>
        </w:rPr>
        <w:t>这正是中国“十五五”时期金融发展的重点。</w:t>
      </w:r>
    </w:p>
    <w:p w14:paraId="43231AFF" w14:textId="77777777" w:rsidR="002B2B46" w:rsidRPr="002959D2" w:rsidRDefault="002B2B46"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sidRPr="002959D2">
        <w:rPr>
          <w:rFonts w:ascii="Times New Roman" w:eastAsia="宋体" w:hAnsi="Times New Roman" w:cs="Times New Roman" w:hint="eastAsia"/>
          <w:sz w:val="24"/>
          <w:szCs w:val="24"/>
        </w:rPr>
        <w:t>1.</w:t>
      </w:r>
      <w:r w:rsidRPr="002959D2">
        <w:rPr>
          <w:rFonts w:ascii="Times New Roman" w:eastAsia="宋体" w:hAnsi="Times New Roman" w:cs="Times New Roman"/>
          <w:sz w:val="24"/>
          <w:szCs w:val="24"/>
        </w:rPr>
        <w:t>加快金融基础设施建设，壮大内外市场链接能力</w:t>
      </w:r>
    </w:p>
    <w:p w14:paraId="34CF82A0" w14:textId="27DC836D" w:rsidR="002B2B46" w:rsidRPr="002959D2" w:rsidRDefault="00C97610"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sidRPr="002959D2">
        <w:rPr>
          <w:rFonts w:ascii="Times New Roman" w:eastAsia="宋体" w:hAnsi="Times New Roman" w:cs="Times New Roman" w:hint="eastAsia"/>
          <w:sz w:val="24"/>
          <w:szCs w:val="24"/>
        </w:rPr>
        <w:t>进一步优化人民币</w:t>
      </w:r>
      <w:r w:rsidR="002B2B46" w:rsidRPr="002959D2">
        <w:rPr>
          <w:rFonts w:ascii="Times New Roman" w:eastAsia="宋体" w:hAnsi="Times New Roman" w:cs="Times New Roman"/>
          <w:sz w:val="24"/>
          <w:szCs w:val="24"/>
        </w:rPr>
        <w:t>支付清算系统，有效提升中国金融体系与国际金融体系的链接水平。</w:t>
      </w:r>
      <w:r w:rsidR="00E5589B" w:rsidRPr="002959D2">
        <w:rPr>
          <w:rFonts w:ascii="Times New Roman" w:eastAsia="宋体" w:hAnsi="Times New Roman" w:cs="Times New Roman" w:hint="eastAsia"/>
          <w:sz w:val="24"/>
          <w:szCs w:val="24"/>
        </w:rPr>
        <w:t>在国内支付清算体系方面，要</w:t>
      </w:r>
      <w:r w:rsidRPr="002959D2">
        <w:rPr>
          <w:rFonts w:ascii="Times New Roman" w:eastAsia="宋体" w:hAnsi="Times New Roman" w:cs="Times New Roman" w:hint="eastAsia"/>
          <w:sz w:val="24"/>
          <w:szCs w:val="24"/>
        </w:rPr>
        <w:t>不断完善中国现代化支付系统，着重加强系统稳定和安全保障，确保国家处理中心和城市处理中心顺畅高效安全连接，进一步强化中国现代化支付系统与货币政策公开市场操作、</w:t>
      </w:r>
      <w:r w:rsidR="00E5589B" w:rsidRPr="002959D2">
        <w:rPr>
          <w:rFonts w:ascii="Times New Roman" w:eastAsia="宋体" w:hAnsi="Times New Roman" w:cs="Times New Roman" w:hint="eastAsia"/>
          <w:sz w:val="24"/>
          <w:szCs w:val="24"/>
        </w:rPr>
        <w:t>国库单一账户、</w:t>
      </w:r>
      <w:r w:rsidRPr="002959D2">
        <w:rPr>
          <w:rFonts w:ascii="Times New Roman" w:eastAsia="宋体" w:hAnsi="Times New Roman" w:cs="Times New Roman" w:hint="eastAsia"/>
          <w:sz w:val="24"/>
          <w:szCs w:val="24"/>
        </w:rPr>
        <w:t>债券市场以及外汇交易中心的连接体系建设并确保</w:t>
      </w:r>
      <w:r w:rsidR="00E5589B" w:rsidRPr="002959D2">
        <w:rPr>
          <w:rFonts w:ascii="Times New Roman" w:eastAsia="宋体" w:hAnsi="Times New Roman" w:cs="Times New Roman" w:hint="eastAsia"/>
          <w:sz w:val="24"/>
          <w:szCs w:val="24"/>
        </w:rPr>
        <w:t>其</w:t>
      </w:r>
      <w:r w:rsidRPr="002959D2">
        <w:rPr>
          <w:rFonts w:ascii="Times New Roman" w:eastAsia="宋体" w:hAnsi="Times New Roman" w:cs="Times New Roman" w:hint="eastAsia"/>
          <w:sz w:val="24"/>
          <w:szCs w:val="24"/>
        </w:rPr>
        <w:t>稳定安全。</w:t>
      </w:r>
      <w:r w:rsidR="00E5589B" w:rsidRPr="002959D2">
        <w:rPr>
          <w:rFonts w:ascii="Times New Roman" w:eastAsia="宋体" w:hAnsi="Times New Roman" w:cs="Times New Roman" w:hint="eastAsia"/>
          <w:sz w:val="24"/>
          <w:szCs w:val="24"/>
        </w:rPr>
        <w:t>在对外支付清算体系建设方面，要</w:t>
      </w:r>
      <w:r w:rsidR="00DB5B2D" w:rsidRPr="002959D2">
        <w:rPr>
          <w:rFonts w:ascii="Times New Roman" w:eastAsia="宋体" w:hAnsi="Times New Roman" w:cs="Times New Roman" w:hint="eastAsia"/>
          <w:sz w:val="24"/>
          <w:szCs w:val="24"/>
        </w:rPr>
        <w:t>积极适应</w:t>
      </w:r>
      <w:r w:rsidR="00DB5B2D" w:rsidRPr="002959D2">
        <w:rPr>
          <w:rFonts w:ascii="Times New Roman" w:eastAsia="宋体" w:hAnsi="Times New Roman" w:cs="Times New Roman"/>
          <w:sz w:val="24"/>
          <w:szCs w:val="24"/>
        </w:rPr>
        <w:t>当前复杂国际</w:t>
      </w:r>
      <w:r w:rsidR="00DB5B2D" w:rsidRPr="002959D2">
        <w:rPr>
          <w:rFonts w:ascii="Times New Roman" w:eastAsia="宋体" w:hAnsi="Times New Roman" w:cs="Times New Roman" w:hint="eastAsia"/>
          <w:sz w:val="24"/>
          <w:szCs w:val="24"/>
        </w:rPr>
        <w:t>金融</w:t>
      </w:r>
      <w:r w:rsidR="00DB5B2D" w:rsidRPr="002959D2">
        <w:rPr>
          <w:rFonts w:ascii="Times New Roman" w:eastAsia="宋体" w:hAnsi="Times New Roman" w:cs="Times New Roman"/>
          <w:sz w:val="24"/>
          <w:szCs w:val="24"/>
        </w:rPr>
        <w:t>形势，</w:t>
      </w:r>
      <w:r w:rsidR="002B2B46" w:rsidRPr="002959D2">
        <w:rPr>
          <w:rFonts w:ascii="Times New Roman" w:eastAsia="宋体" w:hAnsi="Times New Roman" w:cs="Times New Roman"/>
          <w:sz w:val="24"/>
          <w:szCs w:val="24"/>
        </w:rPr>
        <w:t>加快构建满足自身发展需求的跨境支付系统，形成同我国经贸地位相匹配的人民币跨境支付网络，构建同当前国际支付清算体系</w:t>
      </w:r>
      <w:r w:rsidR="0079171F">
        <w:rPr>
          <w:rFonts w:ascii="Times New Roman" w:eastAsia="宋体" w:hAnsi="Times New Roman" w:cs="Times New Roman" w:hint="eastAsia"/>
          <w:sz w:val="24"/>
          <w:szCs w:val="24"/>
        </w:rPr>
        <w:t>既</w:t>
      </w:r>
      <w:r w:rsidR="002B2B46" w:rsidRPr="002959D2">
        <w:rPr>
          <w:rFonts w:ascii="Times New Roman" w:eastAsia="宋体" w:hAnsi="Times New Roman" w:cs="Times New Roman"/>
          <w:sz w:val="24"/>
          <w:szCs w:val="24"/>
        </w:rPr>
        <w:t>有区别又相融合的多元化跨境支付清算体系。积极扩大以人民币跨境支付清算系统（</w:t>
      </w:r>
      <w:r w:rsidR="002B2B46" w:rsidRPr="002959D2">
        <w:rPr>
          <w:rFonts w:ascii="Times New Roman" w:eastAsia="宋体" w:hAnsi="Times New Roman" w:cs="Times New Roman"/>
          <w:sz w:val="24"/>
          <w:szCs w:val="24"/>
        </w:rPr>
        <w:t>CIPS</w:t>
      </w:r>
      <w:r w:rsidR="002B2B46" w:rsidRPr="002959D2">
        <w:rPr>
          <w:rFonts w:ascii="Times New Roman" w:eastAsia="宋体" w:hAnsi="Times New Roman" w:cs="Times New Roman"/>
          <w:sz w:val="24"/>
          <w:szCs w:val="24"/>
        </w:rPr>
        <w:t>）为核心的跨境支付网络</w:t>
      </w:r>
      <w:r w:rsidR="0079171F">
        <w:rPr>
          <w:rFonts w:ascii="Times New Roman" w:eastAsia="宋体" w:hAnsi="Times New Roman" w:cs="Times New Roman" w:hint="eastAsia"/>
          <w:sz w:val="24"/>
          <w:szCs w:val="24"/>
        </w:rPr>
        <w:t>，</w:t>
      </w:r>
      <w:r w:rsidR="002B2B46" w:rsidRPr="002959D2">
        <w:rPr>
          <w:rFonts w:ascii="Times New Roman" w:eastAsia="宋体" w:hAnsi="Times New Roman" w:cs="Times New Roman"/>
          <w:sz w:val="24"/>
          <w:szCs w:val="24"/>
        </w:rPr>
        <w:t>依托</w:t>
      </w:r>
      <w:r w:rsidR="002B2B46" w:rsidRPr="002959D2">
        <w:rPr>
          <w:rFonts w:ascii="Times New Roman" w:eastAsia="宋体" w:hAnsi="Times New Roman" w:cs="Times New Roman"/>
          <w:sz w:val="24"/>
          <w:szCs w:val="24"/>
        </w:rPr>
        <w:t>CIPS</w:t>
      </w:r>
      <w:r w:rsidR="002B2B46" w:rsidRPr="002959D2">
        <w:rPr>
          <w:rFonts w:ascii="Times New Roman" w:eastAsia="宋体" w:hAnsi="Times New Roman" w:cs="Times New Roman"/>
          <w:sz w:val="24"/>
          <w:szCs w:val="24"/>
        </w:rPr>
        <w:t>扩大支付清算网络的全球覆盖，积极同其他重要支付系统实现对接，不断拓宽人民币同全球货币间兑换、结算的跨境支付网络。依托金融科技创新探索建设跨境支付</w:t>
      </w:r>
      <w:r w:rsidR="0030253B" w:rsidRPr="002959D2">
        <w:rPr>
          <w:rFonts w:ascii="Times New Roman" w:eastAsia="宋体" w:hAnsi="Times New Roman" w:cs="Times New Roman" w:hint="eastAsia"/>
          <w:sz w:val="24"/>
          <w:szCs w:val="24"/>
        </w:rPr>
        <w:t>清算</w:t>
      </w:r>
      <w:r w:rsidR="002B2B46" w:rsidRPr="002959D2">
        <w:rPr>
          <w:rFonts w:ascii="Times New Roman" w:eastAsia="宋体" w:hAnsi="Times New Roman" w:cs="Times New Roman"/>
          <w:sz w:val="24"/>
          <w:szCs w:val="24"/>
        </w:rPr>
        <w:t>体系</w:t>
      </w:r>
      <w:r w:rsidR="0079171F">
        <w:rPr>
          <w:rFonts w:ascii="Times New Roman" w:eastAsia="宋体" w:hAnsi="Times New Roman" w:cs="Times New Roman" w:hint="eastAsia"/>
          <w:sz w:val="24"/>
          <w:szCs w:val="24"/>
        </w:rPr>
        <w:t>，</w:t>
      </w:r>
      <w:r w:rsidR="0030253B" w:rsidRPr="002959D2">
        <w:rPr>
          <w:rFonts w:ascii="Times New Roman" w:eastAsia="宋体" w:hAnsi="Times New Roman" w:cs="Times New Roman" w:hint="eastAsia"/>
          <w:sz w:val="24"/>
          <w:szCs w:val="24"/>
        </w:rPr>
        <w:t>积极发展多边央行数字货币桥，提升跨境支付结算速度、降低成本并保障安全。</w:t>
      </w:r>
    </w:p>
    <w:p w14:paraId="17A8E472" w14:textId="51AAAF48" w:rsidR="002B2B46" w:rsidRPr="000E5468" w:rsidRDefault="0030253B" w:rsidP="00AF0AF5">
      <w:pPr>
        <w:adjustRightInd w:val="0"/>
        <w:snapToGrid w:val="0"/>
        <w:spacing w:before="100" w:beforeAutospacing="1" w:after="100" w:afterAutospacing="1" w:line="360" w:lineRule="auto"/>
        <w:ind w:firstLineChars="200" w:firstLine="480"/>
        <w:contextualSpacing/>
        <w:rPr>
          <w:rFonts w:ascii="宋体" w:eastAsia="宋体" w:hAnsi="宋体" w:cs="Times New Roman"/>
          <w:sz w:val="24"/>
          <w:szCs w:val="24"/>
        </w:rPr>
      </w:pPr>
      <w:r w:rsidRPr="002959D2">
        <w:rPr>
          <w:rFonts w:ascii="Times New Roman" w:eastAsia="宋体" w:hAnsi="Times New Roman" w:cs="Times New Roman" w:hint="eastAsia"/>
          <w:sz w:val="24"/>
          <w:szCs w:val="24"/>
        </w:rPr>
        <w:t>着力加强软件金融基础设施的建设和发展。</w:t>
      </w:r>
      <w:r w:rsidR="00B0474E" w:rsidRPr="002959D2">
        <w:rPr>
          <w:rFonts w:ascii="Times New Roman" w:eastAsia="宋体" w:hAnsi="Times New Roman" w:cs="Times New Roman" w:hint="eastAsia"/>
          <w:sz w:val="24"/>
          <w:szCs w:val="24"/>
        </w:rPr>
        <w:t>一是加大经济金融信息机构的培育和发展，提升其信息采集、处置、传播能力，着重加强金融信息数据库建设，有效</w:t>
      </w:r>
      <w:r w:rsidR="00DB5B2D" w:rsidRPr="002959D2">
        <w:rPr>
          <w:rFonts w:ascii="Times New Roman" w:eastAsia="宋体" w:hAnsi="Times New Roman" w:cs="Times New Roman" w:hint="eastAsia"/>
          <w:sz w:val="24"/>
          <w:szCs w:val="24"/>
        </w:rPr>
        <w:t>对接</w:t>
      </w:r>
      <w:r w:rsidR="00B0474E" w:rsidRPr="002959D2">
        <w:rPr>
          <w:rFonts w:ascii="Times New Roman" w:eastAsia="宋体" w:hAnsi="Times New Roman" w:cs="Times New Roman" w:hint="eastAsia"/>
          <w:sz w:val="24"/>
          <w:szCs w:val="24"/>
        </w:rPr>
        <w:t>金融交易系统</w:t>
      </w:r>
      <w:r w:rsidR="00DB5B2D" w:rsidRPr="002959D2">
        <w:rPr>
          <w:rFonts w:ascii="Times New Roman" w:eastAsia="宋体" w:hAnsi="Times New Roman" w:cs="Times New Roman" w:hint="eastAsia"/>
          <w:sz w:val="24"/>
          <w:szCs w:val="24"/>
        </w:rPr>
        <w:t>和国际重要金融市场</w:t>
      </w:r>
      <w:r w:rsidR="00B0474E" w:rsidRPr="002959D2">
        <w:rPr>
          <w:rFonts w:ascii="Times New Roman" w:eastAsia="宋体" w:hAnsi="Times New Roman" w:cs="Times New Roman" w:hint="eastAsia"/>
          <w:sz w:val="24"/>
          <w:szCs w:val="24"/>
        </w:rPr>
        <w:t>。</w:t>
      </w:r>
      <w:r w:rsidR="00F43A16" w:rsidRPr="002959D2">
        <w:rPr>
          <w:rFonts w:ascii="Times New Roman" w:eastAsia="宋体" w:hAnsi="Times New Roman" w:cs="Times New Roman"/>
          <w:sz w:val="24"/>
          <w:szCs w:val="24"/>
        </w:rPr>
        <w:t>扶持打造</w:t>
      </w:r>
      <w:r w:rsidR="00F43A16" w:rsidRPr="002959D2">
        <w:rPr>
          <w:rFonts w:ascii="Times New Roman" w:eastAsia="宋体" w:hAnsi="Times New Roman" w:cs="Times New Roman" w:hint="eastAsia"/>
          <w:sz w:val="24"/>
          <w:szCs w:val="24"/>
        </w:rPr>
        <w:t>经济</w:t>
      </w:r>
      <w:r w:rsidR="00F43A16" w:rsidRPr="002959D2">
        <w:rPr>
          <w:rFonts w:ascii="Times New Roman" w:eastAsia="宋体" w:hAnsi="Times New Roman" w:cs="Times New Roman"/>
          <w:sz w:val="24"/>
          <w:szCs w:val="24"/>
        </w:rPr>
        <w:t>金融信息服务</w:t>
      </w:r>
      <w:r w:rsidR="00E5589B" w:rsidRPr="002959D2">
        <w:rPr>
          <w:rFonts w:ascii="Times New Roman" w:eastAsia="宋体" w:hAnsi="Times New Roman" w:cs="Times New Roman" w:hint="eastAsia"/>
          <w:sz w:val="24"/>
          <w:szCs w:val="24"/>
        </w:rPr>
        <w:t>领军机构</w:t>
      </w:r>
      <w:r w:rsidR="00F43A16" w:rsidRPr="002959D2">
        <w:rPr>
          <w:rFonts w:ascii="Times New Roman" w:eastAsia="宋体" w:hAnsi="Times New Roman" w:cs="Times New Roman"/>
          <w:sz w:val="24"/>
          <w:szCs w:val="24"/>
        </w:rPr>
        <w:t>，</w:t>
      </w:r>
      <w:r w:rsidR="00F43A16" w:rsidRPr="002959D2">
        <w:rPr>
          <w:rFonts w:ascii="Times New Roman" w:eastAsia="宋体" w:hAnsi="Times New Roman" w:cs="Times New Roman" w:hint="eastAsia"/>
          <w:sz w:val="24"/>
          <w:szCs w:val="24"/>
        </w:rPr>
        <w:t>打破</w:t>
      </w:r>
      <w:r w:rsidR="00E5589B" w:rsidRPr="002959D2">
        <w:rPr>
          <w:rFonts w:ascii="Times New Roman" w:eastAsia="宋体" w:hAnsi="Times New Roman" w:cs="Times New Roman" w:hint="eastAsia"/>
          <w:sz w:val="24"/>
          <w:szCs w:val="24"/>
        </w:rPr>
        <w:t>个别</w:t>
      </w:r>
      <w:r w:rsidR="00F43A16" w:rsidRPr="002959D2">
        <w:rPr>
          <w:rFonts w:ascii="Times New Roman" w:eastAsia="宋体" w:hAnsi="Times New Roman" w:cs="Times New Roman" w:hint="eastAsia"/>
          <w:sz w:val="24"/>
          <w:szCs w:val="24"/>
        </w:rPr>
        <w:t>国家掌</w:t>
      </w:r>
      <w:proofErr w:type="gramStart"/>
      <w:r w:rsidR="00F43A16" w:rsidRPr="002959D2">
        <w:rPr>
          <w:rFonts w:ascii="Times New Roman" w:eastAsia="宋体" w:hAnsi="Times New Roman" w:cs="Times New Roman" w:hint="eastAsia"/>
          <w:sz w:val="24"/>
          <w:szCs w:val="24"/>
        </w:rPr>
        <w:t>控全球</w:t>
      </w:r>
      <w:proofErr w:type="gramEnd"/>
      <w:r w:rsidR="00F43A16" w:rsidRPr="002959D2">
        <w:rPr>
          <w:rFonts w:ascii="Times New Roman" w:eastAsia="宋体" w:hAnsi="Times New Roman" w:cs="Times New Roman" w:hint="eastAsia"/>
          <w:sz w:val="24"/>
          <w:szCs w:val="24"/>
        </w:rPr>
        <w:t>经济金融信息舆论主导权的局面。</w:t>
      </w:r>
      <w:r w:rsidR="00B0474E" w:rsidRPr="002959D2">
        <w:rPr>
          <w:rFonts w:ascii="Times New Roman" w:eastAsia="宋体" w:hAnsi="Times New Roman" w:cs="Times New Roman" w:hint="eastAsia"/>
          <w:sz w:val="24"/>
          <w:szCs w:val="24"/>
        </w:rPr>
        <w:t>二是加快会计师事务所、律师事务所、评级机构的专业能力和国际业务能力建设，有效接轨国际标准，积极参与制定相关国际新标准</w:t>
      </w:r>
      <w:r w:rsidR="00DB5B2D" w:rsidRPr="002959D2">
        <w:rPr>
          <w:rFonts w:ascii="Times New Roman" w:eastAsia="宋体" w:hAnsi="Times New Roman" w:cs="Times New Roman" w:hint="eastAsia"/>
          <w:sz w:val="24"/>
          <w:szCs w:val="24"/>
        </w:rPr>
        <w:t>，着重提升主权信用、公司信用及债券信用评级能力及水平。三是积极参与</w:t>
      </w:r>
      <w:r w:rsidR="00DB5B2D" w:rsidRPr="002959D2">
        <w:rPr>
          <w:rFonts w:ascii="Times New Roman" w:eastAsia="宋体" w:hAnsi="Times New Roman" w:cs="Times New Roman"/>
          <w:sz w:val="24"/>
          <w:szCs w:val="24"/>
        </w:rPr>
        <w:t>二十国集团、国际货币基金组织、国际清算银行、金融稳定理事会</w:t>
      </w:r>
      <w:r w:rsidR="00DB5B2D" w:rsidRPr="002959D2">
        <w:rPr>
          <w:rFonts w:ascii="Times New Roman" w:eastAsia="宋体" w:hAnsi="Times New Roman" w:cs="Times New Roman" w:hint="eastAsia"/>
          <w:sz w:val="24"/>
          <w:szCs w:val="24"/>
        </w:rPr>
        <w:t>以及多边开发银行等机制，</w:t>
      </w:r>
      <w:r w:rsidR="00DB5B2D" w:rsidRPr="002959D2">
        <w:rPr>
          <w:rFonts w:ascii="Times New Roman" w:eastAsia="宋体" w:hAnsi="Times New Roman" w:cs="Times New Roman"/>
          <w:sz w:val="24"/>
          <w:szCs w:val="24"/>
        </w:rPr>
        <w:t>全方位、多层次、务实灵活地参与</w:t>
      </w:r>
      <w:r w:rsidR="00DB5B2D" w:rsidRPr="002959D2">
        <w:rPr>
          <w:rFonts w:ascii="Times New Roman" w:eastAsia="宋体" w:hAnsi="Times New Roman" w:cs="Times New Roman" w:hint="eastAsia"/>
          <w:sz w:val="24"/>
          <w:szCs w:val="24"/>
        </w:rPr>
        <w:t>全球</w:t>
      </w:r>
      <w:r w:rsidR="00DB5B2D" w:rsidRPr="002959D2">
        <w:rPr>
          <w:rFonts w:ascii="Times New Roman" w:eastAsia="宋体" w:hAnsi="Times New Roman" w:cs="Times New Roman"/>
          <w:sz w:val="24"/>
          <w:szCs w:val="24"/>
        </w:rPr>
        <w:t>经济</w:t>
      </w:r>
      <w:r w:rsidR="00DB5B2D" w:rsidRPr="002959D2">
        <w:rPr>
          <w:rFonts w:ascii="Times New Roman" w:eastAsia="宋体" w:hAnsi="Times New Roman" w:cs="Times New Roman" w:hint="eastAsia"/>
          <w:sz w:val="24"/>
          <w:szCs w:val="24"/>
        </w:rPr>
        <w:t>金融</w:t>
      </w:r>
      <w:r w:rsidR="00DB5B2D" w:rsidRPr="002959D2">
        <w:rPr>
          <w:rFonts w:ascii="Times New Roman" w:eastAsia="宋体" w:hAnsi="Times New Roman" w:cs="Times New Roman"/>
          <w:sz w:val="24"/>
          <w:szCs w:val="24"/>
        </w:rPr>
        <w:t>治理和政策协调</w:t>
      </w:r>
      <w:r w:rsidR="00DB5B2D" w:rsidRPr="002959D2">
        <w:rPr>
          <w:rFonts w:ascii="Times New Roman" w:eastAsia="宋体" w:hAnsi="Times New Roman" w:cs="Times New Roman" w:hint="eastAsia"/>
          <w:sz w:val="24"/>
          <w:szCs w:val="24"/>
        </w:rPr>
        <w:t>，</w:t>
      </w:r>
      <w:r w:rsidR="00E5589B" w:rsidRPr="002959D2">
        <w:rPr>
          <w:rFonts w:ascii="Times New Roman" w:eastAsia="宋体" w:hAnsi="Times New Roman" w:cs="Times New Roman" w:hint="eastAsia"/>
          <w:sz w:val="24"/>
          <w:szCs w:val="24"/>
        </w:rPr>
        <w:t>积极</w:t>
      </w:r>
      <w:r w:rsidR="00DB5B2D" w:rsidRPr="002959D2">
        <w:rPr>
          <w:rFonts w:ascii="Times New Roman" w:eastAsia="宋体" w:hAnsi="Times New Roman" w:cs="Times New Roman" w:hint="eastAsia"/>
          <w:sz w:val="24"/>
          <w:szCs w:val="24"/>
        </w:rPr>
        <w:t>参与银行、证券、保险</w:t>
      </w:r>
      <w:r w:rsidR="00E5589B" w:rsidRPr="002959D2">
        <w:rPr>
          <w:rFonts w:ascii="Times New Roman" w:eastAsia="宋体" w:hAnsi="Times New Roman" w:cs="Times New Roman" w:hint="eastAsia"/>
          <w:sz w:val="24"/>
          <w:szCs w:val="24"/>
        </w:rPr>
        <w:t>、</w:t>
      </w:r>
      <w:r w:rsidR="00BE33C0">
        <w:rPr>
          <w:rFonts w:ascii="Times New Roman" w:eastAsia="宋体" w:hAnsi="Times New Roman" w:cs="Times New Roman" w:hint="eastAsia"/>
          <w:sz w:val="24"/>
          <w:szCs w:val="24"/>
        </w:rPr>
        <w:t>资产管理等领域的监管规则制定，着重加强数字金融和绿色监管</w:t>
      </w:r>
      <w:r w:rsidR="00E5589B" w:rsidRPr="002959D2">
        <w:rPr>
          <w:rFonts w:ascii="Times New Roman" w:eastAsia="宋体" w:hAnsi="Times New Roman" w:cs="Times New Roman" w:hint="eastAsia"/>
          <w:sz w:val="24"/>
          <w:szCs w:val="24"/>
        </w:rPr>
        <w:t>国际合作</w:t>
      </w:r>
      <w:r w:rsidR="00BE33C0">
        <w:rPr>
          <w:rFonts w:ascii="Times New Roman" w:eastAsia="宋体" w:hAnsi="Times New Roman" w:cs="Times New Roman" w:hint="eastAsia"/>
          <w:sz w:val="24"/>
          <w:szCs w:val="24"/>
        </w:rPr>
        <w:t>，</w:t>
      </w:r>
      <w:r w:rsidR="00BE33C0" w:rsidRPr="000E5468">
        <w:rPr>
          <w:rFonts w:ascii="宋体" w:eastAsia="宋体" w:hAnsi="宋体" w:cs="Times New Roman"/>
          <w:sz w:val="24"/>
          <w:szCs w:val="24"/>
        </w:rPr>
        <w:t>提高我国在国际金融规则</w:t>
      </w:r>
      <w:r w:rsidR="00BE33C0" w:rsidRPr="000E5468">
        <w:rPr>
          <w:rFonts w:ascii="宋体" w:eastAsia="宋体" w:hAnsi="宋体" w:cs="Times New Roman"/>
          <w:sz w:val="24"/>
          <w:szCs w:val="24"/>
        </w:rPr>
        <w:lastRenderedPageBreak/>
        <w:t>标准制定中的话语权</w:t>
      </w:r>
      <w:r w:rsidR="00BE33C0" w:rsidRPr="000E5468">
        <w:rPr>
          <w:rFonts w:ascii="宋体" w:eastAsia="宋体" w:hAnsi="宋体" w:cs="Times New Roman" w:hint="eastAsia"/>
          <w:sz w:val="24"/>
          <w:szCs w:val="24"/>
        </w:rPr>
        <w:t>与影响力</w:t>
      </w:r>
      <w:r w:rsidR="00BE33C0" w:rsidRPr="000E5468">
        <w:rPr>
          <w:rFonts w:ascii="宋体" w:eastAsia="宋体" w:hAnsi="宋体" w:cs="Times New Roman"/>
          <w:sz w:val="24"/>
          <w:szCs w:val="24"/>
        </w:rPr>
        <w:t>。</w:t>
      </w:r>
      <w:r w:rsidR="00DB5B2D" w:rsidRPr="000E5468">
        <w:rPr>
          <w:rFonts w:ascii="宋体" w:eastAsia="宋体" w:hAnsi="宋体" w:cs="Times New Roman"/>
          <w:sz w:val="24"/>
          <w:szCs w:val="24"/>
        </w:rPr>
        <w:t>通过“一带一路”倡议</w:t>
      </w:r>
      <w:r w:rsidR="00E5589B" w:rsidRPr="000E5468">
        <w:rPr>
          <w:rFonts w:ascii="宋体" w:eastAsia="宋体" w:hAnsi="宋体" w:cs="Times New Roman" w:hint="eastAsia"/>
          <w:sz w:val="24"/>
          <w:szCs w:val="24"/>
        </w:rPr>
        <w:t>，有效提升资金互通水平，展现</w:t>
      </w:r>
      <w:r w:rsidR="00DB5B2D" w:rsidRPr="000E5468">
        <w:rPr>
          <w:rFonts w:ascii="宋体" w:eastAsia="宋体" w:hAnsi="宋体" w:cs="Times New Roman" w:hint="eastAsia"/>
          <w:sz w:val="24"/>
          <w:szCs w:val="24"/>
        </w:rPr>
        <w:t>大国责任担当。推动“全球南方”</w:t>
      </w:r>
      <w:r w:rsidR="00BE33C0">
        <w:rPr>
          <w:rFonts w:ascii="宋体" w:eastAsia="宋体" w:hAnsi="宋体" w:cs="Times New Roman" w:hint="eastAsia"/>
          <w:sz w:val="24"/>
          <w:szCs w:val="24"/>
        </w:rPr>
        <w:t>货币</w:t>
      </w:r>
      <w:r w:rsidR="00DB5B2D" w:rsidRPr="000E5468">
        <w:rPr>
          <w:rFonts w:ascii="宋体" w:eastAsia="宋体" w:hAnsi="宋体" w:cs="Times New Roman" w:hint="eastAsia"/>
          <w:sz w:val="24"/>
          <w:szCs w:val="24"/>
        </w:rPr>
        <w:t>金融合作</w:t>
      </w:r>
      <w:r w:rsidR="00BE33C0">
        <w:rPr>
          <w:rFonts w:ascii="宋体" w:eastAsia="宋体" w:hAnsi="宋体" w:cs="Times New Roman" w:hint="eastAsia"/>
          <w:sz w:val="24"/>
          <w:szCs w:val="24"/>
        </w:rPr>
        <w:t>，积极参与</w:t>
      </w:r>
      <w:r w:rsidR="00DB5B2D" w:rsidRPr="000E5468">
        <w:rPr>
          <w:rFonts w:ascii="宋体" w:eastAsia="宋体" w:hAnsi="宋体" w:cs="Times New Roman" w:hint="eastAsia"/>
          <w:sz w:val="24"/>
          <w:szCs w:val="24"/>
        </w:rPr>
        <w:t>全球</w:t>
      </w:r>
      <w:r w:rsidR="00DB5B2D" w:rsidRPr="000E5468">
        <w:rPr>
          <w:rFonts w:ascii="宋体" w:eastAsia="宋体" w:hAnsi="宋体" w:cs="Times New Roman"/>
          <w:sz w:val="24"/>
          <w:szCs w:val="24"/>
        </w:rPr>
        <w:t>金融治理体系</w:t>
      </w:r>
      <w:r w:rsidR="00DB5B2D" w:rsidRPr="000E5468">
        <w:rPr>
          <w:rFonts w:ascii="宋体" w:eastAsia="宋体" w:hAnsi="宋体" w:cs="Times New Roman" w:hint="eastAsia"/>
          <w:sz w:val="24"/>
          <w:szCs w:val="24"/>
        </w:rPr>
        <w:t>改革</w:t>
      </w:r>
      <w:r w:rsidR="00BE33C0">
        <w:rPr>
          <w:rFonts w:ascii="宋体" w:eastAsia="宋体" w:hAnsi="宋体" w:cs="Times New Roman" w:hint="eastAsia"/>
          <w:sz w:val="24"/>
          <w:szCs w:val="24"/>
        </w:rPr>
        <w:t>。</w:t>
      </w:r>
    </w:p>
    <w:p w14:paraId="75FB8036" w14:textId="44E2538B" w:rsidR="0030253B" w:rsidRPr="002959D2" w:rsidRDefault="00CF1AF1"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sidRPr="00205386">
        <w:rPr>
          <w:rFonts w:ascii="宋体" w:eastAsia="宋体" w:hAnsi="宋体" w:cs="Times New Roman" w:hint="eastAsia"/>
          <w:sz w:val="24"/>
          <w:szCs w:val="24"/>
        </w:rPr>
        <w:t>前瞻布局</w:t>
      </w:r>
      <w:r w:rsidR="0030253B" w:rsidRPr="00205386">
        <w:rPr>
          <w:rFonts w:ascii="宋体" w:eastAsia="宋体" w:hAnsi="宋体" w:cs="Times New Roman" w:hint="eastAsia"/>
          <w:sz w:val="24"/>
          <w:szCs w:val="24"/>
        </w:rPr>
        <w:t>，</w:t>
      </w:r>
      <w:r w:rsidR="0030253B" w:rsidRPr="00205386">
        <w:rPr>
          <w:rFonts w:ascii="宋体" w:eastAsia="宋体" w:hAnsi="宋体" w:cs="Times New Roman"/>
          <w:sz w:val="24"/>
          <w:szCs w:val="24"/>
        </w:rPr>
        <w:t>提升自主研发与创新能力，强化</w:t>
      </w:r>
      <w:r w:rsidRPr="00205386">
        <w:rPr>
          <w:rFonts w:ascii="宋体" w:eastAsia="宋体" w:hAnsi="宋体" w:cs="Times New Roman" w:hint="eastAsia"/>
          <w:sz w:val="24"/>
          <w:szCs w:val="24"/>
        </w:rPr>
        <w:t>新型数字金融基础设施建设</w:t>
      </w:r>
      <w:r w:rsidR="0030253B" w:rsidRPr="00205386">
        <w:rPr>
          <w:rFonts w:ascii="宋体" w:eastAsia="宋体" w:hAnsi="宋体" w:cs="Times New Roman"/>
          <w:sz w:val="24"/>
          <w:szCs w:val="24"/>
        </w:rPr>
        <w:t>。作为金融行业底层基石和关键节点，金融基础设施</w:t>
      </w:r>
      <w:r w:rsidRPr="00205386">
        <w:rPr>
          <w:rFonts w:ascii="宋体" w:eastAsia="宋体" w:hAnsi="宋体" w:cs="Times New Roman" w:hint="eastAsia"/>
          <w:sz w:val="24"/>
          <w:szCs w:val="24"/>
        </w:rPr>
        <w:t>需适应数字金融发展、</w:t>
      </w:r>
      <w:r w:rsidR="0030253B" w:rsidRPr="00205386">
        <w:rPr>
          <w:rFonts w:ascii="宋体" w:eastAsia="宋体" w:hAnsi="宋体" w:cs="Times New Roman"/>
          <w:sz w:val="24"/>
          <w:szCs w:val="24"/>
        </w:rPr>
        <w:t>金融</w:t>
      </w:r>
      <w:r w:rsidRPr="00205386">
        <w:rPr>
          <w:rFonts w:ascii="宋体" w:eastAsia="宋体" w:hAnsi="宋体" w:cs="Times New Roman"/>
          <w:sz w:val="24"/>
          <w:szCs w:val="24"/>
        </w:rPr>
        <w:t>数据</w:t>
      </w:r>
      <w:r w:rsidRPr="00205386">
        <w:rPr>
          <w:rFonts w:ascii="宋体" w:eastAsia="宋体" w:hAnsi="宋体" w:cs="Times New Roman" w:hint="eastAsia"/>
          <w:sz w:val="24"/>
          <w:szCs w:val="24"/>
        </w:rPr>
        <w:t>集聚</w:t>
      </w:r>
      <w:r w:rsidRPr="002959D2">
        <w:rPr>
          <w:rFonts w:ascii="Times New Roman" w:eastAsia="宋体" w:hAnsi="Times New Roman" w:cs="Times New Roman" w:hint="eastAsia"/>
          <w:sz w:val="24"/>
          <w:szCs w:val="24"/>
        </w:rPr>
        <w:t>和跨境数据开放共享</w:t>
      </w:r>
      <w:r w:rsidR="0030253B" w:rsidRPr="002959D2">
        <w:rPr>
          <w:rFonts w:ascii="Times New Roman" w:eastAsia="宋体" w:hAnsi="Times New Roman" w:cs="Times New Roman"/>
          <w:sz w:val="24"/>
          <w:szCs w:val="24"/>
        </w:rPr>
        <w:t>等</w:t>
      </w:r>
      <w:r w:rsidRPr="002959D2">
        <w:rPr>
          <w:rFonts w:ascii="Times New Roman" w:eastAsia="宋体" w:hAnsi="Times New Roman" w:cs="Times New Roman" w:hint="eastAsia"/>
          <w:sz w:val="24"/>
          <w:szCs w:val="24"/>
        </w:rPr>
        <w:t>新发展需要，</w:t>
      </w:r>
      <w:r w:rsidR="0030253B" w:rsidRPr="002959D2">
        <w:rPr>
          <w:rFonts w:ascii="Times New Roman" w:eastAsia="宋体" w:hAnsi="Times New Roman" w:cs="Times New Roman"/>
          <w:sz w:val="24"/>
          <w:szCs w:val="24"/>
        </w:rPr>
        <w:t>以数据要素和数字技术为关键驱动，建成与数字</w:t>
      </w:r>
      <w:r w:rsidR="0030253B" w:rsidRPr="002959D2">
        <w:rPr>
          <w:rFonts w:ascii="Times New Roman" w:eastAsia="宋体" w:hAnsi="Times New Roman" w:cs="Times New Roman" w:hint="eastAsia"/>
          <w:sz w:val="24"/>
          <w:szCs w:val="24"/>
        </w:rPr>
        <w:t>金融</w:t>
      </w:r>
      <w:r w:rsidR="0030253B" w:rsidRPr="002959D2">
        <w:rPr>
          <w:rFonts w:ascii="Times New Roman" w:eastAsia="宋体" w:hAnsi="Times New Roman" w:cs="Times New Roman"/>
          <w:sz w:val="24"/>
          <w:szCs w:val="24"/>
        </w:rPr>
        <w:t>发展高度适配的</w:t>
      </w:r>
      <w:r w:rsidR="0030253B" w:rsidRPr="002959D2">
        <w:rPr>
          <w:rFonts w:ascii="Times New Roman" w:eastAsia="宋体" w:hAnsi="Times New Roman" w:cs="Times New Roman" w:hint="eastAsia"/>
          <w:sz w:val="24"/>
          <w:szCs w:val="24"/>
        </w:rPr>
        <w:t>新型数字</w:t>
      </w:r>
      <w:r w:rsidRPr="002959D2">
        <w:rPr>
          <w:rFonts w:ascii="Times New Roman" w:eastAsia="宋体" w:hAnsi="Times New Roman" w:cs="Times New Roman"/>
          <w:sz w:val="24"/>
          <w:szCs w:val="24"/>
        </w:rPr>
        <w:t>金融基础设施体系。一是从</w:t>
      </w:r>
      <w:r w:rsidRPr="002959D2">
        <w:rPr>
          <w:rFonts w:ascii="Times New Roman" w:eastAsia="宋体" w:hAnsi="Times New Roman" w:cs="Times New Roman" w:hint="eastAsia"/>
          <w:sz w:val="24"/>
          <w:szCs w:val="24"/>
        </w:rPr>
        <w:t>大国博弈视角认清数字金融基础设施的迭代功能</w:t>
      </w:r>
      <w:r w:rsidR="003311B1" w:rsidRPr="002959D2">
        <w:rPr>
          <w:rFonts w:ascii="Times New Roman" w:eastAsia="宋体" w:hAnsi="Times New Roman" w:cs="Times New Roman" w:hint="eastAsia"/>
          <w:sz w:val="24"/>
          <w:szCs w:val="24"/>
        </w:rPr>
        <w:t>及</w:t>
      </w:r>
      <w:r w:rsidRPr="002959D2">
        <w:rPr>
          <w:rFonts w:ascii="Times New Roman" w:eastAsia="宋体" w:hAnsi="Times New Roman" w:cs="Times New Roman" w:hint="eastAsia"/>
          <w:sz w:val="24"/>
          <w:szCs w:val="24"/>
        </w:rPr>
        <w:t>替代效应，加强</w:t>
      </w:r>
      <w:r w:rsidR="0030253B" w:rsidRPr="002959D2">
        <w:rPr>
          <w:rFonts w:ascii="Times New Roman" w:eastAsia="宋体" w:hAnsi="Times New Roman" w:cs="Times New Roman"/>
          <w:sz w:val="24"/>
          <w:szCs w:val="24"/>
        </w:rPr>
        <w:t>顶层规划，</w:t>
      </w:r>
      <w:r w:rsidR="003311B1" w:rsidRPr="002959D2">
        <w:rPr>
          <w:rFonts w:ascii="Times New Roman" w:eastAsia="宋体" w:hAnsi="Times New Roman" w:cs="Times New Roman" w:hint="eastAsia"/>
          <w:sz w:val="24"/>
          <w:szCs w:val="24"/>
        </w:rPr>
        <w:t>探索建立数字</w:t>
      </w:r>
      <w:r w:rsidR="0030253B" w:rsidRPr="002959D2">
        <w:rPr>
          <w:rFonts w:ascii="Times New Roman" w:eastAsia="宋体" w:hAnsi="Times New Roman" w:cs="Times New Roman"/>
          <w:sz w:val="24"/>
          <w:szCs w:val="24"/>
        </w:rPr>
        <w:t>金融基础设施</w:t>
      </w:r>
      <w:r w:rsidRPr="002959D2">
        <w:rPr>
          <w:rFonts w:ascii="Times New Roman" w:eastAsia="宋体" w:hAnsi="Times New Roman" w:cs="Times New Roman" w:hint="eastAsia"/>
          <w:sz w:val="24"/>
          <w:szCs w:val="24"/>
        </w:rPr>
        <w:t>体系</w:t>
      </w:r>
      <w:r w:rsidR="0030253B" w:rsidRPr="002959D2">
        <w:rPr>
          <w:rFonts w:ascii="Times New Roman" w:eastAsia="宋体" w:hAnsi="Times New Roman" w:cs="Times New Roman"/>
          <w:sz w:val="24"/>
          <w:szCs w:val="24"/>
        </w:rPr>
        <w:t>框架。二是夯实金融基础设施数据应用基础，搭建统一的数据管理和服务平台，加快</w:t>
      </w:r>
      <w:r w:rsidRPr="002959D2">
        <w:rPr>
          <w:rFonts w:ascii="Times New Roman" w:eastAsia="宋体" w:hAnsi="Times New Roman" w:cs="Times New Roman" w:hint="eastAsia"/>
          <w:sz w:val="24"/>
          <w:szCs w:val="24"/>
        </w:rPr>
        <w:t>传统</w:t>
      </w:r>
      <w:r w:rsidR="0030253B" w:rsidRPr="002959D2">
        <w:rPr>
          <w:rFonts w:ascii="Times New Roman" w:eastAsia="宋体" w:hAnsi="Times New Roman" w:cs="Times New Roman"/>
          <w:sz w:val="24"/>
          <w:szCs w:val="24"/>
        </w:rPr>
        <w:t>金融基础设施数字化转型。三是提升金融基础设施数据业务创新研发能力，不断增强金融科技的基础支撑作用，深化金融科技在数据资源端的融合应用。</w:t>
      </w:r>
      <w:r w:rsidR="003311B1" w:rsidRPr="002959D2">
        <w:rPr>
          <w:rFonts w:ascii="Times New Roman" w:eastAsia="宋体" w:hAnsi="Times New Roman" w:cs="Times New Roman" w:hint="eastAsia"/>
          <w:sz w:val="24"/>
          <w:szCs w:val="24"/>
        </w:rPr>
        <w:t>四是加强金融数据治理，</w:t>
      </w:r>
      <w:r w:rsidR="003E1D27" w:rsidRPr="002959D2">
        <w:rPr>
          <w:rFonts w:ascii="Times New Roman" w:eastAsia="宋体" w:hAnsi="Times New Roman" w:cs="Times New Roman" w:hint="eastAsia"/>
          <w:sz w:val="24"/>
          <w:szCs w:val="24"/>
        </w:rPr>
        <w:t>加快形成数据资产，</w:t>
      </w:r>
      <w:r w:rsidR="003311B1" w:rsidRPr="002959D2">
        <w:rPr>
          <w:rFonts w:ascii="Times New Roman" w:eastAsia="宋体" w:hAnsi="Times New Roman" w:cs="Times New Roman" w:hint="eastAsia"/>
          <w:sz w:val="24"/>
          <w:szCs w:val="24"/>
        </w:rPr>
        <w:t>将数据保护、数据处理、价值挖掘以及数据开放等纳入统一框架，有效统筹金融数据开放与安全。</w:t>
      </w:r>
    </w:p>
    <w:p w14:paraId="65A56677" w14:textId="64B5B48C" w:rsidR="002B2B46" w:rsidRPr="002959D2" w:rsidRDefault="006E6389"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sidRPr="002959D2">
        <w:rPr>
          <w:rFonts w:ascii="Times New Roman" w:eastAsia="宋体" w:hAnsi="Times New Roman" w:cs="Times New Roman" w:hint="eastAsia"/>
          <w:sz w:val="24"/>
          <w:szCs w:val="24"/>
        </w:rPr>
        <w:t>2</w:t>
      </w:r>
      <w:r w:rsidR="002B2B46" w:rsidRPr="002959D2">
        <w:rPr>
          <w:rFonts w:ascii="Times New Roman" w:eastAsia="宋体" w:hAnsi="Times New Roman" w:cs="Times New Roman" w:hint="eastAsia"/>
          <w:sz w:val="24"/>
          <w:szCs w:val="24"/>
        </w:rPr>
        <w:t>.</w:t>
      </w:r>
      <w:r w:rsidR="00B53531" w:rsidRPr="002959D2">
        <w:rPr>
          <w:rFonts w:ascii="Times New Roman" w:eastAsia="宋体" w:hAnsi="Times New Roman" w:cs="Times New Roman" w:hint="eastAsia"/>
          <w:sz w:val="24"/>
          <w:szCs w:val="24"/>
        </w:rPr>
        <w:t>加强基础性制度建设</w:t>
      </w:r>
      <w:r w:rsidR="002B2B46" w:rsidRPr="002959D2">
        <w:rPr>
          <w:rFonts w:ascii="Times New Roman" w:eastAsia="宋体" w:hAnsi="Times New Roman" w:cs="Times New Roman"/>
          <w:sz w:val="24"/>
          <w:szCs w:val="24"/>
        </w:rPr>
        <w:t>，</w:t>
      </w:r>
      <w:r w:rsidR="00C63917" w:rsidRPr="002959D2">
        <w:rPr>
          <w:rFonts w:ascii="Times New Roman" w:eastAsia="宋体" w:hAnsi="Times New Roman" w:cs="Times New Roman" w:hint="eastAsia"/>
          <w:sz w:val="24"/>
          <w:szCs w:val="24"/>
        </w:rPr>
        <w:t>打造</w:t>
      </w:r>
      <w:r w:rsidR="00B53531" w:rsidRPr="002959D2">
        <w:rPr>
          <w:rFonts w:ascii="Times New Roman" w:eastAsia="宋体" w:hAnsi="Times New Roman" w:cs="Times New Roman" w:hint="eastAsia"/>
          <w:sz w:val="24"/>
          <w:szCs w:val="24"/>
        </w:rPr>
        <w:t>强大</w:t>
      </w:r>
      <w:r w:rsidR="00C63917" w:rsidRPr="002959D2">
        <w:rPr>
          <w:rFonts w:ascii="Times New Roman" w:eastAsia="宋体" w:hAnsi="Times New Roman" w:cs="Times New Roman" w:hint="eastAsia"/>
          <w:sz w:val="24"/>
          <w:szCs w:val="24"/>
        </w:rPr>
        <w:t>资本市场</w:t>
      </w:r>
    </w:p>
    <w:p w14:paraId="1558E143" w14:textId="6F222D15" w:rsidR="00EF381F" w:rsidRPr="00894A89" w:rsidRDefault="001E5AC2" w:rsidP="00AF0AF5">
      <w:pPr>
        <w:adjustRightInd w:val="0"/>
        <w:snapToGrid w:val="0"/>
        <w:spacing w:before="100" w:beforeAutospacing="1" w:after="100" w:afterAutospacing="1" w:line="360" w:lineRule="auto"/>
        <w:ind w:firstLineChars="200" w:firstLine="480"/>
        <w:contextualSpacing/>
        <w:rPr>
          <w:rFonts w:ascii="宋体" w:eastAsia="宋体" w:hAnsi="宋体" w:cs="Times New Roman"/>
          <w:sz w:val="24"/>
          <w:szCs w:val="24"/>
        </w:rPr>
      </w:pPr>
      <w:r w:rsidRPr="002959D2">
        <w:rPr>
          <w:rFonts w:ascii="Times New Roman" w:eastAsia="宋体" w:hAnsi="Times New Roman" w:cs="Times New Roman" w:hint="eastAsia"/>
          <w:sz w:val="24"/>
          <w:szCs w:val="24"/>
        </w:rPr>
        <w:t>着力推动中长期资金入市，持续培育壮大耐心资本，大力提升资本市场扶持科技创新的能力和水平。</w:t>
      </w:r>
      <w:r w:rsidR="00E74643" w:rsidRPr="002959D2">
        <w:rPr>
          <w:rFonts w:ascii="Times New Roman" w:eastAsia="宋体" w:hAnsi="Times New Roman" w:cs="Times New Roman" w:hint="eastAsia"/>
          <w:sz w:val="24"/>
          <w:szCs w:val="24"/>
        </w:rPr>
        <w:t>要</w:t>
      </w:r>
      <w:r w:rsidR="00F45C70" w:rsidRPr="002959D2">
        <w:rPr>
          <w:rFonts w:ascii="Times New Roman" w:eastAsia="宋体" w:hAnsi="Times New Roman" w:cs="Times New Roman" w:hint="eastAsia"/>
          <w:sz w:val="24"/>
          <w:szCs w:val="24"/>
        </w:rPr>
        <w:t>把</w:t>
      </w:r>
      <w:r w:rsidRPr="002959D2">
        <w:rPr>
          <w:rFonts w:ascii="Times New Roman" w:eastAsia="宋体" w:hAnsi="Times New Roman" w:cs="Times New Roman" w:hint="eastAsia"/>
          <w:sz w:val="24"/>
          <w:szCs w:val="24"/>
        </w:rPr>
        <w:t>强大</w:t>
      </w:r>
      <w:r w:rsidR="00F45C70" w:rsidRPr="002959D2">
        <w:rPr>
          <w:rFonts w:ascii="Times New Roman" w:eastAsia="宋体" w:hAnsi="Times New Roman" w:cs="Times New Roman" w:hint="eastAsia"/>
          <w:sz w:val="24"/>
          <w:szCs w:val="24"/>
        </w:rPr>
        <w:t>资本市场建设放在更高战略层次，</w:t>
      </w:r>
      <w:r w:rsidR="00E74643" w:rsidRPr="002959D2">
        <w:rPr>
          <w:rFonts w:ascii="Times New Roman" w:eastAsia="宋体" w:hAnsi="Times New Roman" w:cs="Times New Roman" w:hint="eastAsia"/>
          <w:sz w:val="24"/>
          <w:szCs w:val="24"/>
        </w:rPr>
        <w:t>提升其</w:t>
      </w:r>
      <w:r w:rsidR="00F45C70" w:rsidRPr="002959D2">
        <w:rPr>
          <w:rFonts w:ascii="Times New Roman" w:eastAsia="宋体" w:hAnsi="Times New Roman" w:cs="Times New Roman" w:hint="eastAsia"/>
          <w:sz w:val="24"/>
          <w:szCs w:val="24"/>
        </w:rPr>
        <w:t>金融强国建设和金融国策</w:t>
      </w:r>
      <w:r w:rsidR="00E74643" w:rsidRPr="002959D2">
        <w:rPr>
          <w:rFonts w:ascii="Times New Roman" w:eastAsia="宋体" w:hAnsi="Times New Roman" w:cs="Times New Roman" w:hint="eastAsia"/>
          <w:sz w:val="24"/>
          <w:szCs w:val="24"/>
        </w:rPr>
        <w:t>实施</w:t>
      </w:r>
      <w:r w:rsidR="00F45C70" w:rsidRPr="002959D2">
        <w:rPr>
          <w:rFonts w:ascii="Times New Roman" w:eastAsia="宋体" w:hAnsi="Times New Roman" w:cs="Times New Roman" w:hint="eastAsia"/>
          <w:sz w:val="24"/>
          <w:szCs w:val="24"/>
        </w:rPr>
        <w:t>的支撑</w:t>
      </w:r>
      <w:r w:rsidR="00E74643" w:rsidRPr="002959D2">
        <w:rPr>
          <w:rFonts w:ascii="Times New Roman" w:eastAsia="宋体" w:hAnsi="Times New Roman" w:cs="Times New Roman" w:hint="eastAsia"/>
          <w:sz w:val="24"/>
          <w:szCs w:val="24"/>
        </w:rPr>
        <w:t>功能</w:t>
      </w:r>
      <w:r w:rsidR="00F45C70" w:rsidRPr="002959D2">
        <w:rPr>
          <w:rFonts w:ascii="Times New Roman" w:eastAsia="宋体" w:hAnsi="Times New Roman" w:cs="Times New Roman" w:hint="eastAsia"/>
          <w:sz w:val="24"/>
          <w:szCs w:val="24"/>
        </w:rPr>
        <w:t>。</w:t>
      </w:r>
      <w:r w:rsidR="00E74643" w:rsidRPr="002959D2">
        <w:rPr>
          <w:rFonts w:ascii="Times New Roman" w:eastAsia="宋体" w:hAnsi="Times New Roman" w:cs="Times New Roman" w:hint="eastAsia"/>
          <w:sz w:val="24"/>
          <w:szCs w:val="24"/>
        </w:rPr>
        <w:t>要打破</w:t>
      </w:r>
      <w:r w:rsidR="002B2B46" w:rsidRPr="002959D2">
        <w:rPr>
          <w:rFonts w:ascii="Times New Roman" w:eastAsia="宋体" w:hAnsi="Times New Roman" w:cs="Times New Roman"/>
          <w:sz w:val="24"/>
          <w:szCs w:val="24"/>
        </w:rPr>
        <w:t>支持科技创新发展所需的长期资本与银行体系主导的短期信贷供给</w:t>
      </w:r>
      <w:r w:rsidR="00E74643" w:rsidRPr="002959D2">
        <w:rPr>
          <w:rFonts w:ascii="Times New Roman" w:eastAsia="宋体" w:hAnsi="Times New Roman" w:cs="Times New Roman" w:hint="eastAsia"/>
          <w:sz w:val="24"/>
          <w:szCs w:val="24"/>
        </w:rPr>
        <w:t>的</w:t>
      </w:r>
      <w:r w:rsidR="002B2B46" w:rsidRPr="002959D2">
        <w:rPr>
          <w:rFonts w:ascii="Times New Roman" w:eastAsia="宋体" w:hAnsi="Times New Roman" w:cs="Times New Roman"/>
          <w:sz w:val="24"/>
          <w:szCs w:val="24"/>
        </w:rPr>
        <w:t>结构性矛盾</w:t>
      </w:r>
      <w:r w:rsidRPr="002959D2">
        <w:rPr>
          <w:rFonts w:ascii="Times New Roman" w:eastAsia="宋体" w:hAnsi="Times New Roman" w:cs="Times New Roman" w:hint="eastAsia"/>
          <w:sz w:val="24"/>
          <w:szCs w:val="24"/>
        </w:rPr>
        <w:t>，贯彻落实中央金融委员会办公室和中国证监会联合印发的《关于推动中长期资金入市的指导意见》，</w:t>
      </w:r>
      <w:r w:rsidR="00B75725" w:rsidRPr="002959D2">
        <w:rPr>
          <w:rFonts w:ascii="Times New Roman" w:eastAsia="宋体" w:hAnsi="Times New Roman" w:cs="Times New Roman"/>
          <w:sz w:val="24"/>
          <w:szCs w:val="24"/>
        </w:rPr>
        <w:t>打通中长期资金入市的卡点堵点，</w:t>
      </w:r>
      <w:r w:rsidR="00B75725" w:rsidRPr="002959D2">
        <w:rPr>
          <w:rFonts w:ascii="Times New Roman" w:eastAsia="宋体" w:hAnsi="Times New Roman" w:cs="Times New Roman" w:hint="eastAsia"/>
          <w:sz w:val="24"/>
          <w:szCs w:val="24"/>
        </w:rPr>
        <w:t>推动各类中长期资金入市，</w:t>
      </w:r>
      <w:r w:rsidR="00B75725" w:rsidRPr="00894A89">
        <w:rPr>
          <w:rFonts w:ascii="宋体" w:eastAsia="宋体" w:hAnsi="宋体" w:cs="Times New Roman" w:hint="eastAsia"/>
          <w:sz w:val="24"/>
          <w:szCs w:val="24"/>
        </w:rPr>
        <w:t>提升中长期资金实际投资比例，延长投资考核周期，进一步巩固形成落实增量政策合力，构建“长线长投”制度环境。</w:t>
      </w:r>
      <w:r w:rsidR="00BE33C0">
        <w:rPr>
          <w:rFonts w:ascii="宋体" w:eastAsia="宋体" w:hAnsi="宋体" w:cs="Times New Roman"/>
          <w:sz w:val="24"/>
          <w:szCs w:val="24"/>
        </w:rPr>
        <w:t>在大力</w:t>
      </w:r>
      <w:r w:rsidR="00BE33C0">
        <w:rPr>
          <w:rFonts w:ascii="宋体" w:eastAsia="宋体" w:hAnsi="宋体" w:cs="Times New Roman" w:hint="eastAsia"/>
          <w:sz w:val="24"/>
          <w:szCs w:val="24"/>
        </w:rPr>
        <w:t>夯实</w:t>
      </w:r>
      <w:r w:rsidR="00BE33C0">
        <w:rPr>
          <w:rFonts w:ascii="宋体" w:eastAsia="宋体" w:hAnsi="宋体" w:cs="Times New Roman"/>
          <w:sz w:val="24"/>
          <w:szCs w:val="24"/>
        </w:rPr>
        <w:t>权益</w:t>
      </w:r>
      <w:proofErr w:type="gramStart"/>
      <w:r w:rsidR="00BE33C0">
        <w:rPr>
          <w:rFonts w:ascii="宋体" w:eastAsia="宋体" w:hAnsi="宋体" w:cs="Times New Roman"/>
          <w:sz w:val="24"/>
          <w:szCs w:val="24"/>
        </w:rPr>
        <w:t>类公募基金</w:t>
      </w:r>
      <w:proofErr w:type="gramEnd"/>
      <w:r w:rsidR="00B75725" w:rsidRPr="00894A89">
        <w:rPr>
          <w:rFonts w:ascii="宋体" w:eastAsia="宋体" w:hAnsi="宋体" w:cs="Times New Roman"/>
          <w:sz w:val="24"/>
          <w:szCs w:val="24"/>
        </w:rPr>
        <w:t>“基本盘”的同时，着力完善各类中长期资金入市配套政策制度，推动保险资金、养老金、社保基金和企业年金入市。培育耐心资本</w:t>
      </w:r>
      <w:r w:rsidR="00B75725" w:rsidRPr="00894A89">
        <w:rPr>
          <w:rFonts w:ascii="宋体" w:eastAsia="宋体" w:hAnsi="宋体" w:cs="Times New Roman" w:hint="eastAsia"/>
          <w:sz w:val="24"/>
          <w:szCs w:val="24"/>
        </w:rPr>
        <w:t>投资</w:t>
      </w:r>
      <w:r w:rsidR="00B75725" w:rsidRPr="00894A89">
        <w:rPr>
          <w:rFonts w:ascii="宋体" w:eastAsia="宋体" w:hAnsi="宋体" w:cs="Times New Roman"/>
          <w:sz w:val="24"/>
          <w:szCs w:val="24"/>
        </w:rPr>
        <w:t>体系。积极发挥政府引导基金示范作用，</w:t>
      </w:r>
      <w:r w:rsidR="00B75725" w:rsidRPr="00894A89">
        <w:rPr>
          <w:rFonts w:ascii="宋体" w:eastAsia="宋体" w:hAnsi="宋体" w:cs="Times New Roman" w:hint="eastAsia"/>
          <w:sz w:val="24"/>
          <w:szCs w:val="24"/>
        </w:rPr>
        <w:t>鼓励发展天使投资和风险投资，</w:t>
      </w:r>
      <w:r w:rsidR="00B75725" w:rsidRPr="00894A89">
        <w:rPr>
          <w:rFonts w:ascii="宋体" w:eastAsia="宋体" w:hAnsi="宋体" w:cs="Times New Roman"/>
          <w:sz w:val="24"/>
          <w:szCs w:val="24"/>
        </w:rPr>
        <w:t>大力发展并购市场，</w:t>
      </w:r>
      <w:proofErr w:type="gramStart"/>
      <w:r w:rsidR="00B75725" w:rsidRPr="00894A89">
        <w:rPr>
          <w:rFonts w:ascii="宋体" w:eastAsia="宋体" w:hAnsi="宋体" w:cs="Times New Roman"/>
          <w:sz w:val="24"/>
          <w:szCs w:val="24"/>
        </w:rPr>
        <w:t>完善私募股权基金</w:t>
      </w:r>
      <w:proofErr w:type="gramEnd"/>
      <w:r w:rsidR="00B75725" w:rsidRPr="00894A89">
        <w:rPr>
          <w:rFonts w:ascii="宋体" w:eastAsia="宋体" w:hAnsi="宋体" w:cs="Times New Roman"/>
          <w:sz w:val="24"/>
          <w:szCs w:val="24"/>
        </w:rPr>
        <w:t>和创业投资基金发展机制，撬动更多社会资本投资</w:t>
      </w:r>
      <w:r w:rsidR="00B75725" w:rsidRPr="00894A89">
        <w:rPr>
          <w:rFonts w:ascii="宋体" w:eastAsia="宋体" w:hAnsi="宋体" w:cs="Times New Roman" w:hint="eastAsia"/>
          <w:sz w:val="24"/>
          <w:szCs w:val="24"/>
        </w:rPr>
        <w:t>创新创业和产业转化</w:t>
      </w:r>
      <w:r w:rsidR="00B75725" w:rsidRPr="00894A89">
        <w:rPr>
          <w:rFonts w:ascii="宋体" w:eastAsia="宋体" w:hAnsi="宋体" w:cs="Times New Roman"/>
          <w:sz w:val="24"/>
          <w:szCs w:val="24"/>
        </w:rPr>
        <w:t>，为</w:t>
      </w:r>
      <w:r w:rsidR="00B75725" w:rsidRPr="00894A89">
        <w:rPr>
          <w:rFonts w:ascii="宋体" w:eastAsia="宋体" w:hAnsi="宋体" w:cs="Times New Roman" w:hint="eastAsia"/>
          <w:sz w:val="24"/>
          <w:szCs w:val="24"/>
        </w:rPr>
        <w:t>科技创新提供耐心资本，</w:t>
      </w:r>
      <w:r w:rsidR="00E74643" w:rsidRPr="00894A89">
        <w:rPr>
          <w:rFonts w:ascii="宋体" w:eastAsia="宋体" w:hAnsi="宋体" w:cs="Times New Roman"/>
          <w:sz w:val="24"/>
          <w:szCs w:val="24"/>
        </w:rPr>
        <w:t>促进科技、金融、产业良性循环，</w:t>
      </w:r>
      <w:r w:rsidR="00F45C70" w:rsidRPr="00894A89">
        <w:rPr>
          <w:rFonts w:ascii="宋体" w:eastAsia="宋体" w:hAnsi="宋体" w:cs="Times New Roman"/>
          <w:sz w:val="24"/>
          <w:szCs w:val="24"/>
        </w:rPr>
        <w:t>推动</w:t>
      </w:r>
      <w:r w:rsidR="000D2801" w:rsidRPr="00894A89">
        <w:rPr>
          <w:rFonts w:ascii="宋体" w:eastAsia="宋体" w:hAnsi="宋体" w:cs="Times New Roman" w:hint="eastAsia"/>
          <w:sz w:val="24"/>
          <w:szCs w:val="24"/>
        </w:rPr>
        <w:t>发展</w:t>
      </w:r>
      <w:r w:rsidR="000D2801" w:rsidRPr="00894A89">
        <w:rPr>
          <w:rFonts w:ascii="宋体" w:eastAsia="宋体" w:hAnsi="宋体" w:cs="Times New Roman"/>
          <w:sz w:val="24"/>
          <w:szCs w:val="24"/>
        </w:rPr>
        <w:t>新质生产力</w:t>
      </w:r>
      <w:r w:rsidR="00F45C70" w:rsidRPr="00894A89">
        <w:rPr>
          <w:rFonts w:ascii="宋体" w:eastAsia="宋体" w:hAnsi="宋体" w:cs="Times New Roman"/>
          <w:sz w:val="24"/>
          <w:szCs w:val="24"/>
        </w:rPr>
        <w:t>。</w:t>
      </w:r>
    </w:p>
    <w:p w14:paraId="52D67A15" w14:textId="4FEDA863" w:rsidR="00B75725" w:rsidRPr="002959D2" w:rsidRDefault="00B75725"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sidRPr="002959D2">
        <w:rPr>
          <w:rFonts w:ascii="Times New Roman" w:eastAsia="宋体" w:hAnsi="Times New Roman" w:cs="Times New Roman" w:hint="eastAsia"/>
          <w:sz w:val="24"/>
          <w:szCs w:val="24"/>
        </w:rPr>
        <w:t>以准入、交易、退出为突破口，提升资本市场</w:t>
      </w:r>
      <w:r w:rsidR="00BE33C0">
        <w:rPr>
          <w:rFonts w:ascii="Times New Roman" w:eastAsia="宋体" w:hAnsi="Times New Roman" w:cs="Times New Roman" w:hint="eastAsia"/>
          <w:sz w:val="24"/>
          <w:szCs w:val="24"/>
        </w:rPr>
        <w:t>自我更新和</w:t>
      </w:r>
      <w:r w:rsidRPr="002959D2">
        <w:rPr>
          <w:rFonts w:ascii="Times New Roman" w:eastAsia="宋体" w:hAnsi="Times New Roman" w:cs="Times New Roman" w:hint="eastAsia"/>
          <w:sz w:val="24"/>
          <w:szCs w:val="24"/>
        </w:rPr>
        <w:t>创新发展质效。</w:t>
      </w:r>
      <w:r w:rsidR="00D54802" w:rsidRPr="002959D2">
        <w:rPr>
          <w:rFonts w:ascii="Times New Roman" w:eastAsia="宋体" w:hAnsi="Times New Roman" w:cs="Times New Roman" w:hint="eastAsia"/>
          <w:sz w:val="24"/>
          <w:szCs w:val="24"/>
        </w:rPr>
        <w:t>坚持市场化和法治化原则，突出上市公司投资价值，畅通多元退市渠道，积极推动资本市场创新发展。</w:t>
      </w:r>
      <w:r w:rsidRPr="002959D2">
        <w:rPr>
          <w:rFonts w:ascii="Times New Roman" w:eastAsia="宋体" w:hAnsi="Times New Roman" w:cs="Times New Roman" w:hint="eastAsia"/>
          <w:sz w:val="24"/>
          <w:szCs w:val="24"/>
        </w:rPr>
        <w:t>在准入方面，在强化公司信息披露准确性要求之下，深化不</w:t>
      </w:r>
      <w:r w:rsidRPr="002959D2">
        <w:rPr>
          <w:rFonts w:ascii="Times New Roman" w:eastAsia="宋体" w:hAnsi="Times New Roman" w:cs="Times New Roman" w:hint="eastAsia"/>
          <w:sz w:val="24"/>
          <w:szCs w:val="24"/>
        </w:rPr>
        <w:lastRenderedPageBreak/>
        <w:t>同层次市场的制度建设，进一步提升资本市场包容性，让更多创新领域的公司能借力资本</w:t>
      </w:r>
      <w:r w:rsidR="00BE33C0">
        <w:rPr>
          <w:rFonts w:ascii="Times New Roman" w:eastAsia="宋体" w:hAnsi="Times New Roman" w:cs="Times New Roman" w:hint="eastAsia"/>
          <w:sz w:val="24"/>
          <w:szCs w:val="24"/>
        </w:rPr>
        <w:t>市场做大做强。在交易方面，</w:t>
      </w:r>
      <w:r w:rsidR="00D54802" w:rsidRPr="002959D2">
        <w:rPr>
          <w:rFonts w:ascii="Times New Roman" w:eastAsia="宋体" w:hAnsi="Times New Roman" w:cs="Times New Roman" w:hint="eastAsia"/>
          <w:sz w:val="24"/>
          <w:szCs w:val="24"/>
        </w:rPr>
        <w:t>切实加强监管执法工作，</w:t>
      </w:r>
      <w:r w:rsidRPr="002959D2">
        <w:rPr>
          <w:rFonts w:ascii="Times New Roman" w:eastAsia="宋体" w:hAnsi="Times New Roman" w:cs="Times New Roman" w:hint="eastAsia"/>
          <w:sz w:val="24"/>
          <w:szCs w:val="24"/>
        </w:rPr>
        <w:t>优化市场交易制度，</w:t>
      </w:r>
      <w:r w:rsidR="006E6389" w:rsidRPr="002959D2">
        <w:rPr>
          <w:rFonts w:ascii="Times New Roman" w:eastAsia="宋体" w:hAnsi="Times New Roman" w:cs="Times New Roman" w:hint="eastAsia"/>
          <w:sz w:val="24"/>
          <w:szCs w:val="24"/>
        </w:rPr>
        <w:t>在异常交易、操纵市场、恶意做空等领域进行重点监管，加大查处力度，确保市场环境有序，</w:t>
      </w:r>
      <w:r w:rsidRPr="002959D2">
        <w:rPr>
          <w:rFonts w:ascii="Times New Roman" w:eastAsia="宋体" w:hAnsi="Times New Roman" w:cs="Times New Roman" w:hint="eastAsia"/>
          <w:sz w:val="24"/>
          <w:szCs w:val="24"/>
        </w:rPr>
        <w:t>提升市场定价和资源配置功能，形成披露充分、交易顺畅、价值公允的市场体系。在退出方面，</w:t>
      </w:r>
      <w:r w:rsidR="00D54802" w:rsidRPr="002959D2">
        <w:rPr>
          <w:rFonts w:ascii="Times New Roman" w:eastAsia="宋体" w:hAnsi="Times New Roman" w:cs="Times New Roman" w:hint="eastAsia"/>
          <w:sz w:val="24"/>
          <w:szCs w:val="24"/>
        </w:rPr>
        <w:t>进一步严格</w:t>
      </w:r>
      <w:r w:rsidR="005C4A62" w:rsidRPr="002959D2">
        <w:rPr>
          <w:rFonts w:ascii="Times New Roman" w:eastAsia="宋体" w:hAnsi="Times New Roman" w:cs="Times New Roman" w:hint="eastAsia"/>
          <w:sz w:val="24"/>
          <w:szCs w:val="24"/>
        </w:rPr>
        <w:t>财务指标类、交易指标类、规范运作类、重大违法类</w:t>
      </w:r>
      <w:r w:rsidR="00D54802" w:rsidRPr="002959D2">
        <w:rPr>
          <w:rFonts w:ascii="Times New Roman" w:eastAsia="宋体" w:hAnsi="Times New Roman" w:cs="Times New Roman" w:hint="eastAsia"/>
          <w:sz w:val="24"/>
          <w:szCs w:val="24"/>
        </w:rPr>
        <w:t>强制退市标准，</w:t>
      </w:r>
      <w:r w:rsidR="005C4A62" w:rsidRPr="002959D2">
        <w:rPr>
          <w:rFonts w:ascii="Times New Roman" w:eastAsia="宋体" w:hAnsi="Times New Roman" w:cs="Times New Roman" w:hint="eastAsia"/>
          <w:sz w:val="24"/>
          <w:szCs w:val="24"/>
        </w:rPr>
        <w:t>更加精准实现“应退</w:t>
      </w:r>
      <w:r w:rsidR="00E46090">
        <w:rPr>
          <w:rFonts w:ascii="Times New Roman" w:eastAsia="宋体" w:hAnsi="Times New Roman" w:cs="Times New Roman" w:hint="eastAsia"/>
          <w:sz w:val="24"/>
          <w:szCs w:val="24"/>
        </w:rPr>
        <w:t>尽</w:t>
      </w:r>
      <w:r w:rsidR="005C4A62" w:rsidRPr="002959D2">
        <w:rPr>
          <w:rFonts w:ascii="Times New Roman" w:eastAsia="宋体" w:hAnsi="Times New Roman" w:cs="Times New Roman" w:hint="eastAsia"/>
          <w:sz w:val="24"/>
          <w:szCs w:val="24"/>
        </w:rPr>
        <w:t>退”，健全不同板块上市公司</w:t>
      </w:r>
      <w:proofErr w:type="gramStart"/>
      <w:r w:rsidR="005C4A62" w:rsidRPr="002959D2">
        <w:rPr>
          <w:rFonts w:ascii="Times New Roman" w:eastAsia="宋体" w:hAnsi="Times New Roman" w:cs="Times New Roman" w:hint="eastAsia"/>
          <w:sz w:val="24"/>
          <w:szCs w:val="24"/>
        </w:rPr>
        <w:t>差异化退市</w:t>
      </w:r>
      <w:proofErr w:type="gramEnd"/>
      <w:r w:rsidR="005C4A62" w:rsidRPr="002959D2">
        <w:rPr>
          <w:rFonts w:ascii="Times New Roman" w:eastAsia="宋体" w:hAnsi="Times New Roman" w:cs="Times New Roman" w:hint="eastAsia"/>
          <w:sz w:val="24"/>
          <w:szCs w:val="24"/>
        </w:rPr>
        <w:t>标准；完善吸收合并等并购重组政策，支持市场化主动退市，</w:t>
      </w:r>
      <w:r w:rsidR="00D54802" w:rsidRPr="002959D2">
        <w:rPr>
          <w:rFonts w:ascii="Times New Roman" w:eastAsia="宋体" w:hAnsi="Times New Roman" w:cs="Times New Roman" w:hint="eastAsia"/>
          <w:sz w:val="24"/>
          <w:szCs w:val="24"/>
        </w:rPr>
        <w:t>逐步拓宽多元化退市渠道</w:t>
      </w:r>
      <w:r w:rsidR="005C4A62" w:rsidRPr="002959D2">
        <w:rPr>
          <w:rFonts w:ascii="Times New Roman" w:eastAsia="宋体" w:hAnsi="Times New Roman" w:cs="Times New Roman" w:hint="eastAsia"/>
          <w:sz w:val="24"/>
          <w:szCs w:val="24"/>
        </w:rPr>
        <w:t>；</w:t>
      </w:r>
      <w:r w:rsidR="00D54802" w:rsidRPr="002959D2">
        <w:rPr>
          <w:rFonts w:ascii="Times New Roman" w:eastAsia="宋体" w:hAnsi="Times New Roman" w:cs="Times New Roman" w:hint="eastAsia"/>
          <w:sz w:val="24"/>
          <w:szCs w:val="24"/>
        </w:rPr>
        <w:t>大力削减“壳”资源价值</w:t>
      </w:r>
      <w:r w:rsidR="005C4A62" w:rsidRPr="002959D2">
        <w:rPr>
          <w:rFonts w:ascii="Times New Roman" w:eastAsia="宋体" w:hAnsi="Times New Roman" w:cs="Times New Roman" w:hint="eastAsia"/>
          <w:sz w:val="24"/>
          <w:szCs w:val="24"/>
        </w:rPr>
        <w:t>，加强重组监管、收购监管、从严打击“炒壳”违法违规行为，坚决出清不具有重整价值</w:t>
      </w:r>
      <w:r w:rsidR="00EF3167">
        <w:rPr>
          <w:rFonts w:ascii="Times New Roman" w:eastAsia="宋体" w:hAnsi="Times New Roman" w:cs="Times New Roman" w:hint="eastAsia"/>
          <w:sz w:val="24"/>
          <w:szCs w:val="24"/>
        </w:rPr>
        <w:t>的</w:t>
      </w:r>
      <w:r w:rsidR="005C4A62" w:rsidRPr="002959D2">
        <w:rPr>
          <w:rFonts w:ascii="Times New Roman" w:eastAsia="宋体" w:hAnsi="Times New Roman" w:cs="Times New Roman" w:hint="eastAsia"/>
          <w:sz w:val="24"/>
          <w:szCs w:val="24"/>
        </w:rPr>
        <w:t>公司</w:t>
      </w:r>
      <w:r w:rsidR="006E6389" w:rsidRPr="002959D2">
        <w:rPr>
          <w:rFonts w:ascii="Times New Roman" w:eastAsia="宋体" w:hAnsi="Times New Roman" w:cs="Times New Roman" w:hint="eastAsia"/>
          <w:sz w:val="24"/>
          <w:szCs w:val="24"/>
        </w:rPr>
        <w:t>，不断提升上市公司价值创造</w:t>
      </w:r>
      <w:r w:rsidR="00EF381F" w:rsidRPr="002959D2">
        <w:rPr>
          <w:rFonts w:ascii="Times New Roman" w:eastAsia="宋体" w:hAnsi="Times New Roman" w:cs="Times New Roman" w:hint="eastAsia"/>
          <w:sz w:val="24"/>
          <w:szCs w:val="24"/>
        </w:rPr>
        <w:t>。</w:t>
      </w:r>
    </w:p>
    <w:p w14:paraId="155F1333" w14:textId="413577D9" w:rsidR="002B2B46" w:rsidRPr="002959D2" w:rsidRDefault="002B2B46"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sidRPr="002959D2">
        <w:rPr>
          <w:rFonts w:ascii="Times New Roman" w:eastAsia="宋体" w:hAnsi="Times New Roman" w:cs="Times New Roman"/>
          <w:sz w:val="24"/>
          <w:szCs w:val="24"/>
        </w:rPr>
        <w:t>积极推动资本市场高水平开放</w:t>
      </w:r>
      <w:r w:rsidR="00EF381F" w:rsidRPr="002959D2">
        <w:rPr>
          <w:rFonts w:ascii="Times New Roman" w:eastAsia="宋体" w:hAnsi="Times New Roman" w:cs="Times New Roman" w:hint="eastAsia"/>
          <w:sz w:val="24"/>
          <w:szCs w:val="24"/>
        </w:rPr>
        <w:t>，不断提升国际化水平</w:t>
      </w:r>
      <w:r w:rsidRPr="002959D2">
        <w:rPr>
          <w:rFonts w:ascii="Times New Roman" w:eastAsia="宋体" w:hAnsi="Times New Roman" w:cs="Times New Roman"/>
          <w:sz w:val="24"/>
          <w:szCs w:val="24"/>
        </w:rPr>
        <w:t>。</w:t>
      </w:r>
      <w:r w:rsidR="006E6389" w:rsidRPr="002959D2">
        <w:rPr>
          <w:rFonts w:ascii="Times New Roman" w:eastAsia="宋体" w:hAnsi="Times New Roman" w:cs="Times New Roman" w:hint="eastAsia"/>
          <w:sz w:val="24"/>
          <w:szCs w:val="24"/>
        </w:rPr>
        <w:t>一是着力</w:t>
      </w:r>
      <w:r w:rsidR="00F004C9">
        <w:rPr>
          <w:rFonts w:ascii="Times New Roman" w:eastAsia="宋体" w:hAnsi="Times New Roman" w:cs="Times New Roman" w:hint="eastAsia"/>
          <w:sz w:val="24"/>
          <w:szCs w:val="24"/>
        </w:rPr>
        <w:t>推进</w:t>
      </w:r>
      <w:r w:rsidR="006E6389" w:rsidRPr="002959D2">
        <w:rPr>
          <w:rFonts w:ascii="Times New Roman" w:eastAsia="宋体" w:hAnsi="Times New Roman" w:cs="Times New Roman" w:hint="eastAsia"/>
          <w:sz w:val="24"/>
          <w:szCs w:val="24"/>
        </w:rPr>
        <w:t>上海和香港国际金融中心建设，不断提升两个国际金融中心发展能级，着重提高内外资源统筹能力和境外资产</w:t>
      </w:r>
      <w:r w:rsidR="00BE33C0">
        <w:rPr>
          <w:rFonts w:ascii="Times New Roman" w:eastAsia="宋体" w:hAnsi="Times New Roman" w:cs="Times New Roman" w:hint="eastAsia"/>
          <w:sz w:val="24"/>
          <w:szCs w:val="24"/>
        </w:rPr>
        <w:t>布局与</w:t>
      </w:r>
      <w:r w:rsidR="006E6389" w:rsidRPr="002959D2">
        <w:rPr>
          <w:rFonts w:ascii="Times New Roman" w:eastAsia="宋体" w:hAnsi="Times New Roman" w:cs="Times New Roman" w:hint="eastAsia"/>
          <w:sz w:val="24"/>
          <w:szCs w:val="24"/>
        </w:rPr>
        <w:t>运作能力。二是实施更大力度的制度型开放，</w:t>
      </w:r>
      <w:r w:rsidRPr="002959D2">
        <w:rPr>
          <w:rFonts w:ascii="Times New Roman" w:eastAsia="宋体" w:hAnsi="Times New Roman" w:cs="Times New Roman"/>
          <w:sz w:val="24"/>
          <w:szCs w:val="24"/>
        </w:rPr>
        <w:t>合理缩减外资准入负面清单，统一</w:t>
      </w:r>
      <w:r w:rsidR="00EF381F" w:rsidRPr="002959D2">
        <w:rPr>
          <w:rFonts w:ascii="Times New Roman" w:eastAsia="宋体" w:hAnsi="Times New Roman" w:cs="Times New Roman"/>
          <w:sz w:val="24"/>
          <w:szCs w:val="24"/>
        </w:rPr>
        <w:t>金融市场开放渠道，提高外资</w:t>
      </w:r>
      <w:r w:rsidR="006E6389" w:rsidRPr="002959D2">
        <w:rPr>
          <w:rFonts w:ascii="Times New Roman" w:eastAsia="宋体" w:hAnsi="Times New Roman" w:cs="Times New Roman" w:hint="eastAsia"/>
          <w:sz w:val="24"/>
          <w:szCs w:val="24"/>
        </w:rPr>
        <w:t>投资资本市场</w:t>
      </w:r>
      <w:r w:rsidR="00EF381F" w:rsidRPr="002959D2">
        <w:rPr>
          <w:rFonts w:ascii="Times New Roman" w:eastAsia="宋体" w:hAnsi="Times New Roman" w:cs="Times New Roman"/>
          <w:sz w:val="24"/>
          <w:szCs w:val="24"/>
        </w:rPr>
        <w:t>的便利性</w:t>
      </w:r>
      <w:r w:rsidRPr="002959D2">
        <w:rPr>
          <w:rFonts w:ascii="Times New Roman" w:eastAsia="宋体" w:hAnsi="Times New Roman" w:cs="Times New Roman"/>
          <w:sz w:val="24"/>
          <w:szCs w:val="24"/>
        </w:rPr>
        <w:t>。</w:t>
      </w:r>
      <w:r w:rsidR="006E6389" w:rsidRPr="002959D2">
        <w:rPr>
          <w:rFonts w:ascii="Times New Roman" w:eastAsia="宋体" w:hAnsi="Times New Roman" w:cs="Times New Roman" w:hint="eastAsia"/>
          <w:sz w:val="24"/>
          <w:szCs w:val="24"/>
        </w:rPr>
        <w:t>三</w:t>
      </w:r>
      <w:r w:rsidR="00DB5B2D" w:rsidRPr="002959D2">
        <w:rPr>
          <w:rFonts w:ascii="Times New Roman" w:eastAsia="宋体" w:hAnsi="Times New Roman" w:cs="Times New Roman" w:hint="eastAsia"/>
          <w:sz w:val="24"/>
          <w:szCs w:val="24"/>
        </w:rPr>
        <w:t>是</w:t>
      </w:r>
      <w:r w:rsidR="00BE33C0">
        <w:rPr>
          <w:rFonts w:ascii="Times New Roman" w:eastAsia="宋体" w:hAnsi="Times New Roman" w:cs="Times New Roman"/>
          <w:sz w:val="24"/>
          <w:szCs w:val="24"/>
        </w:rPr>
        <w:t>建设世界一流期货交易所，提升</w:t>
      </w:r>
      <w:r w:rsidRPr="002959D2">
        <w:rPr>
          <w:rFonts w:ascii="Times New Roman" w:eastAsia="宋体" w:hAnsi="Times New Roman" w:cs="Times New Roman"/>
          <w:sz w:val="24"/>
          <w:szCs w:val="24"/>
        </w:rPr>
        <w:t>商</w:t>
      </w:r>
      <w:r w:rsidR="00BE33C0">
        <w:rPr>
          <w:rFonts w:ascii="Times New Roman" w:eastAsia="宋体" w:hAnsi="Times New Roman" w:cs="Times New Roman"/>
          <w:sz w:val="24"/>
          <w:szCs w:val="24"/>
        </w:rPr>
        <w:t>品期货交易所的国际影响力，吸引更多境外投资者参与交易，增强市场</w:t>
      </w:r>
      <w:r w:rsidRPr="002959D2">
        <w:rPr>
          <w:rFonts w:ascii="Times New Roman" w:eastAsia="宋体" w:hAnsi="Times New Roman" w:cs="Times New Roman"/>
          <w:sz w:val="24"/>
          <w:szCs w:val="24"/>
        </w:rPr>
        <w:t>流动性</w:t>
      </w:r>
      <w:r w:rsidR="00BE33C0">
        <w:rPr>
          <w:rFonts w:ascii="Times New Roman" w:eastAsia="宋体" w:hAnsi="Times New Roman" w:cs="Times New Roman"/>
          <w:sz w:val="24"/>
          <w:szCs w:val="24"/>
        </w:rPr>
        <w:t>，提高价格发现</w:t>
      </w:r>
      <w:r w:rsidRPr="002959D2">
        <w:rPr>
          <w:rFonts w:ascii="Times New Roman" w:eastAsia="宋体" w:hAnsi="Times New Roman" w:cs="Times New Roman"/>
          <w:sz w:val="24"/>
          <w:szCs w:val="24"/>
        </w:rPr>
        <w:t>效率。</w:t>
      </w:r>
      <w:r w:rsidR="006E6389" w:rsidRPr="002959D2">
        <w:rPr>
          <w:rFonts w:ascii="Times New Roman" w:eastAsia="宋体" w:hAnsi="Times New Roman" w:cs="Times New Roman" w:hint="eastAsia"/>
          <w:sz w:val="24"/>
          <w:szCs w:val="24"/>
        </w:rPr>
        <w:t>四</w:t>
      </w:r>
      <w:r w:rsidR="00EF381F" w:rsidRPr="002959D2">
        <w:rPr>
          <w:rFonts w:ascii="Times New Roman" w:eastAsia="宋体" w:hAnsi="Times New Roman" w:cs="Times New Roman" w:hint="eastAsia"/>
          <w:sz w:val="24"/>
          <w:szCs w:val="24"/>
        </w:rPr>
        <w:t>是</w:t>
      </w:r>
      <w:r w:rsidRPr="002959D2">
        <w:rPr>
          <w:rFonts w:ascii="Times New Roman" w:eastAsia="宋体" w:hAnsi="Times New Roman" w:cs="Times New Roman"/>
          <w:sz w:val="24"/>
          <w:szCs w:val="24"/>
        </w:rPr>
        <w:t>对标国际标准的中央对手清算制度框架体系建设</w:t>
      </w:r>
      <w:r w:rsidR="006E6389" w:rsidRPr="002959D2">
        <w:rPr>
          <w:rFonts w:ascii="Times New Roman" w:eastAsia="宋体" w:hAnsi="Times New Roman" w:cs="Times New Roman" w:hint="eastAsia"/>
          <w:sz w:val="24"/>
          <w:szCs w:val="24"/>
        </w:rPr>
        <w:t>相关清算基础设施</w:t>
      </w:r>
      <w:r w:rsidRPr="002959D2">
        <w:rPr>
          <w:rFonts w:ascii="Times New Roman" w:eastAsia="宋体" w:hAnsi="Times New Roman" w:cs="Times New Roman"/>
          <w:sz w:val="24"/>
          <w:szCs w:val="24"/>
        </w:rPr>
        <w:t>，提高防范化解跨境风险的能力。</w:t>
      </w:r>
      <w:r w:rsidR="006E6389" w:rsidRPr="002959D2">
        <w:rPr>
          <w:rFonts w:ascii="Times New Roman" w:eastAsia="宋体" w:hAnsi="Times New Roman" w:cs="Times New Roman" w:hint="eastAsia"/>
          <w:sz w:val="24"/>
          <w:szCs w:val="24"/>
        </w:rPr>
        <w:t>五</w:t>
      </w:r>
      <w:r w:rsidR="007D26C4" w:rsidRPr="002959D2">
        <w:rPr>
          <w:rFonts w:ascii="Times New Roman" w:eastAsia="宋体" w:hAnsi="Times New Roman" w:cs="Times New Roman" w:hint="eastAsia"/>
          <w:sz w:val="24"/>
          <w:szCs w:val="24"/>
        </w:rPr>
        <w:t>是探索设立股票市场国际版</w:t>
      </w:r>
      <w:r w:rsidR="00BE33C0">
        <w:rPr>
          <w:rFonts w:ascii="Times New Roman" w:eastAsia="宋体" w:hAnsi="Times New Roman" w:cs="Times New Roman" w:hint="eastAsia"/>
          <w:sz w:val="24"/>
          <w:szCs w:val="24"/>
        </w:rPr>
        <w:t>，致力吸引</w:t>
      </w:r>
      <w:r w:rsidR="004C2356" w:rsidRPr="002959D2">
        <w:rPr>
          <w:rFonts w:ascii="Times New Roman" w:eastAsia="宋体" w:hAnsi="Times New Roman" w:cs="Times New Roman" w:hint="eastAsia"/>
          <w:sz w:val="24"/>
          <w:szCs w:val="24"/>
        </w:rPr>
        <w:t>全球创新型企业，将资本市场发展与产业</w:t>
      </w:r>
      <w:proofErr w:type="gramStart"/>
      <w:r w:rsidR="004C2356" w:rsidRPr="002959D2">
        <w:rPr>
          <w:rFonts w:ascii="Times New Roman" w:eastAsia="宋体" w:hAnsi="Times New Roman" w:cs="Times New Roman" w:hint="eastAsia"/>
          <w:sz w:val="24"/>
          <w:szCs w:val="24"/>
        </w:rPr>
        <w:t>链有效</w:t>
      </w:r>
      <w:proofErr w:type="gramEnd"/>
      <w:r w:rsidR="004C2356" w:rsidRPr="002959D2">
        <w:rPr>
          <w:rFonts w:ascii="Times New Roman" w:eastAsia="宋体" w:hAnsi="Times New Roman" w:cs="Times New Roman" w:hint="eastAsia"/>
          <w:sz w:val="24"/>
          <w:szCs w:val="24"/>
        </w:rPr>
        <w:t>关联在一起</w:t>
      </w:r>
      <w:r w:rsidR="00BE25A7" w:rsidRPr="002959D2">
        <w:rPr>
          <w:rFonts w:ascii="Times New Roman" w:eastAsia="宋体" w:hAnsi="Times New Roman" w:cs="Times New Roman" w:hint="eastAsia"/>
          <w:sz w:val="24"/>
          <w:szCs w:val="24"/>
        </w:rPr>
        <w:t>，为全球资产布局</w:t>
      </w:r>
      <w:r w:rsidR="00FF2128" w:rsidRPr="002959D2">
        <w:rPr>
          <w:rFonts w:ascii="Times New Roman" w:eastAsia="宋体" w:hAnsi="Times New Roman" w:cs="Times New Roman" w:hint="eastAsia"/>
          <w:sz w:val="24"/>
          <w:szCs w:val="24"/>
        </w:rPr>
        <w:t>打造</w:t>
      </w:r>
      <w:r w:rsidR="00BE25A7" w:rsidRPr="002959D2">
        <w:rPr>
          <w:rFonts w:ascii="Times New Roman" w:eastAsia="宋体" w:hAnsi="Times New Roman" w:cs="Times New Roman" w:hint="eastAsia"/>
          <w:sz w:val="24"/>
          <w:szCs w:val="24"/>
        </w:rPr>
        <w:t>新市场机制</w:t>
      </w:r>
      <w:r w:rsidR="004C2356" w:rsidRPr="002959D2">
        <w:rPr>
          <w:rFonts w:ascii="Times New Roman" w:eastAsia="宋体" w:hAnsi="Times New Roman" w:cs="Times New Roman" w:hint="eastAsia"/>
          <w:sz w:val="24"/>
          <w:szCs w:val="24"/>
        </w:rPr>
        <w:t>。</w:t>
      </w:r>
      <w:r w:rsidR="00EF381F" w:rsidRPr="002959D2">
        <w:rPr>
          <w:rFonts w:ascii="Times New Roman" w:eastAsia="宋体" w:hAnsi="Times New Roman" w:cs="Times New Roman" w:hint="eastAsia"/>
          <w:sz w:val="24"/>
          <w:szCs w:val="24"/>
        </w:rPr>
        <w:t xml:space="preserve"> </w:t>
      </w:r>
    </w:p>
    <w:p w14:paraId="644B72C6" w14:textId="082D38F0" w:rsidR="006E6389" w:rsidRPr="002959D2" w:rsidRDefault="00601CA8"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sidRPr="002959D2">
        <w:rPr>
          <w:rFonts w:ascii="Times New Roman" w:eastAsia="宋体" w:hAnsi="Times New Roman" w:cs="Times New Roman" w:hint="eastAsia"/>
          <w:sz w:val="24"/>
          <w:szCs w:val="24"/>
        </w:rPr>
        <w:t>加强金融法治，</w:t>
      </w:r>
      <w:r w:rsidRPr="002959D2">
        <w:rPr>
          <w:rFonts w:ascii="Times New Roman" w:eastAsia="宋体" w:hAnsi="Times New Roman" w:cs="Times New Roman"/>
          <w:sz w:val="24"/>
          <w:szCs w:val="24"/>
        </w:rPr>
        <w:t>构建全方位、立体化</w:t>
      </w:r>
      <w:r w:rsidRPr="002959D2">
        <w:rPr>
          <w:rFonts w:ascii="Times New Roman" w:eastAsia="宋体" w:hAnsi="Times New Roman" w:cs="Times New Roman" w:hint="eastAsia"/>
          <w:sz w:val="24"/>
          <w:szCs w:val="24"/>
        </w:rPr>
        <w:t>、可预期</w:t>
      </w:r>
      <w:r w:rsidRPr="002959D2">
        <w:rPr>
          <w:rFonts w:ascii="Times New Roman" w:eastAsia="宋体" w:hAnsi="Times New Roman" w:cs="Times New Roman"/>
          <w:sz w:val="24"/>
          <w:szCs w:val="24"/>
        </w:rPr>
        <w:t>的资本市场</w:t>
      </w:r>
      <w:r w:rsidRPr="002959D2">
        <w:rPr>
          <w:rFonts w:ascii="Times New Roman" w:eastAsia="宋体" w:hAnsi="Times New Roman" w:cs="Times New Roman" w:hint="eastAsia"/>
          <w:sz w:val="24"/>
          <w:szCs w:val="24"/>
        </w:rPr>
        <w:t>基础制度体系</w:t>
      </w:r>
      <w:r w:rsidRPr="002959D2">
        <w:rPr>
          <w:rFonts w:ascii="Times New Roman" w:eastAsia="宋体" w:hAnsi="Times New Roman" w:cs="Times New Roman"/>
          <w:sz w:val="24"/>
          <w:szCs w:val="24"/>
        </w:rPr>
        <w:t>。</w:t>
      </w:r>
      <w:r w:rsidRPr="002959D2">
        <w:rPr>
          <w:rFonts w:ascii="Times New Roman" w:eastAsia="宋体" w:hAnsi="Times New Roman" w:cs="Times New Roman" w:hint="eastAsia"/>
          <w:sz w:val="24"/>
          <w:szCs w:val="24"/>
        </w:rPr>
        <w:t>以强监管、防风险、促高质量发展为主线，将资本市场基础制度完善作为强大资本市场建设的重中之重。严把发行上市准入关，严格上市公司持续监管，加大退市监管力度，加强证券基金机构监管，加强证券期货交易监管等。完善适配长期投资的基础制度、研究规范基金经理薪酬制度、修订基金管理人分类评价制度、健全上市公司可持续信息披露制度、</w:t>
      </w:r>
      <w:r w:rsidR="00C97610" w:rsidRPr="002959D2">
        <w:rPr>
          <w:rFonts w:ascii="Times New Roman" w:eastAsia="宋体" w:hAnsi="Times New Roman" w:cs="Times New Roman" w:hint="eastAsia"/>
          <w:sz w:val="24"/>
          <w:szCs w:val="24"/>
        </w:rPr>
        <w:t>适时</w:t>
      </w:r>
      <w:r w:rsidRPr="002959D2">
        <w:rPr>
          <w:rFonts w:ascii="Times New Roman" w:eastAsia="宋体" w:hAnsi="Times New Roman" w:cs="Times New Roman" w:hint="eastAsia"/>
          <w:sz w:val="24"/>
          <w:szCs w:val="24"/>
        </w:rPr>
        <w:t>推动修订证券基金法、加大证券纠纷特别代表人诉讼制度适用力度。</w:t>
      </w:r>
      <w:r w:rsidR="006E6389" w:rsidRPr="002959D2">
        <w:rPr>
          <w:rFonts w:ascii="Times New Roman" w:eastAsia="宋体" w:hAnsi="Times New Roman" w:cs="Times New Roman" w:hint="eastAsia"/>
          <w:sz w:val="24"/>
          <w:szCs w:val="24"/>
        </w:rPr>
        <w:t>逐步完善适应不同类型企业的估值定价体系和具有中国特色的估值制度，更好发挥资本市场的</w:t>
      </w:r>
      <w:r w:rsidR="00FE7A71" w:rsidRPr="002959D2">
        <w:rPr>
          <w:rFonts w:ascii="Times New Roman" w:eastAsia="宋体" w:hAnsi="Times New Roman" w:cs="Times New Roman" w:hint="eastAsia"/>
          <w:sz w:val="24"/>
          <w:szCs w:val="24"/>
        </w:rPr>
        <w:t>投融资功能</w:t>
      </w:r>
      <w:r w:rsidR="006E6389" w:rsidRPr="002959D2">
        <w:rPr>
          <w:rFonts w:ascii="Times New Roman" w:eastAsia="宋体" w:hAnsi="Times New Roman" w:cs="Times New Roman" w:hint="eastAsia"/>
          <w:sz w:val="24"/>
          <w:szCs w:val="24"/>
        </w:rPr>
        <w:t>和资源配置功能。</w:t>
      </w:r>
      <w:r w:rsidRPr="002959D2">
        <w:rPr>
          <w:rFonts w:ascii="Times New Roman" w:eastAsia="宋体" w:hAnsi="Times New Roman" w:cs="Times New Roman"/>
          <w:sz w:val="24"/>
          <w:szCs w:val="24"/>
        </w:rPr>
        <w:t>探索建立平准基金</w:t>
      </w:r>
      <w:r w:rsidR="000E08DC" w:rsidRPr="002959D2">
        <w:rPr>
          <w:rFonts w:ascii="Times New Roman" w:eastAsia="宋体" w:hAnsi="Times New Roman" w:cs="Times New Roman" w:hint="eastAsia"/>
          <w:sz w:val="24"/>
          <w:szCs w:val="24"/>
        </w:rPr>
        <w:t>制度</w:t>
      </w:r>
      <w:r w:rsidRPr="002959D2">
        <w:rPr>
          <w:rFonts w:ascii="Times New Roman" w:eastAsia="宋体" w:hAnsi="Times New Roman" w:cs="Times New Roman"/>
          <w:sz w:val="24"/>
          <w:szCs w:val="24"/>
        </w:rPr>
        <w:t>。充分发挥平准基金功能，防止资本市场出现非理性</w:t>
      </w:r>
      <w:r w:rsidRPr="002959D2">
        <w:rPr>
          <w:rFonts w:ascii="Times New Roman" w:eastAsia="宋体" w:hAnsi="Times New Roman" w:cs="Times New Roman"/>
          <w:sz w:val="24"/>
          <w:szCs w:val="24"/>
        </w:rPr>
        <w:t>“</w:t>
      </w:r>
      <w:r w:rsidRPr="002959D2">
        <w:rPr>
          <w:rFonts w:ascii="Times New Roman" w:eastAsia="宋体" w:hAnsi="Times New Roman" w:cs="Times New Roman"/>
          <w:sz w:val="24"/>
          <w:szCs w:val="24"/>
        </w:rPr>
        <w:t>超调</w:t>
      </w:r>
      <w:r w:rsidRPr="002959D2">
        <w:rPr>
          <w:rFonts w:ascii="Times New Roman" w:eastAsia="宋体" w:hAnsi="Times New Roman" w:cs="Times New Roman"/>
          <w:sz w:val="24"/>
          <w:szCs w:val="24"/>
        </w:rPr>
        <w:t>”</w:t>
      </w:r>
      <w:r w:rsidRPr="002959D2">
        <w:rPr>
          <w:rFonts w:ascii="Times New Roman" w:eastAsia="宋体" w:hAnsi="Times New Roman" w:cs="Times New Roman"/>
          <w:sz w:val="24"/>
          <w:szCs w:val="24"/>
        </w:rPr>
        <w:t>，为构建稳健的股权市场提供制度保障</w:t>
      </w:r>
      <w:r w:rsidRPr="002959D2">
        <w:rPr>
          <w:rFonts w:ascii="Times New Roman" w:eastAsia="宋体" w:hAnsi="Times New Roman" w:cs="Times New Roman" w:hint="eastAsia"/>
          <w:sz w:val="24"/>
          <w:szCs w:val="24"/>
        </w:rPr>
        <w:t>和资金支持</w:t>
      </w:r>
      <w:r w:rsidRPr="002959D2">
        <w:rPr>
          <w:rFonts w:ascii="Times New Roman" w:eastAsia="宋体" w:hAnsi="Times New Roman" w:cs="Times New Roman"/>
          <w:sz w:val="24"/>
          <w:szCs w:val="24"/>
        </w:rPr>
        <w:t>。</w:t>
      </w:r>
    </w:p>
    <w:p w14:paraId="0BE8C1D4" w14:textId="77777777" w:rsidR="006E6389" w:rsidRPr="002959D2" w:rsidRDefault="006E6389"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sidRPr="002959D2">
        <w:rPr>
          <w:rFonts w:ascii="Times New Roman" w:eastAsia="宋体" w:hAnsi="Times New Roman" w:cs="Times New Roman" w:hint="eastAsia"/>
          <w:sz w:val="24"/>
          <w:szCs w:val="24"/>
        </w:rPr>
        <w:t>3.</w:t>
      </w:r>
      <w:r w:rsidRPr="002959D2">
        <w:rPr>
          <w:rFonts w:ascii="Times New Roman" w:eastAsia="宋体" w:hAnsi="Times New Roman" w:cs="Times New Roman" w:hint="eastAsia"/>
          <w:sz w:val="24"/>
          <w:szCs w:val="24"/>
        </w:rPr>
        <w:t>优化全球资产布局，强化内外资产负债互动</w:t>
      </w:r>
    </w:p>
    <w:p w14:paraId="7B609DBB" w14:textId="7D52B8E0" w:rsidR="006E6389" w:rsidRPr="002959D2" w:rsidRDefault="00BE33C0"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Pr>
          <w:rFonts w:ascii="Times New Roman" w:eastAsia="宋体" w:hAnsi="Times New Roman" w:cs="Times New Roman" w:hint="eastAsia"/>
          <w:sz w:val="24"/>
          <w:szCs w:val="24"/>
        </w:rPr>
        <w:t>在总量方面，</w:t>
      </w:r>
      <w:r w:rsidR="006E6389" w:rsidRPr="002959D2">
        <w:rPr>
          <w:rFonts w:ascii="Times New Roman" w:eastAsia="宋体" w:hAnsi="Times New Roman" w:cs="Times New Roman" w:hint="eastAsia"/>
          <w:sz w:val="24"/>
          <w:szCs w:val="24"/>
        </w:rPr>
        <w:t>要全面</w:t>
      </w:r>
      <w:r w:rsidR="008659B7">
        <w:rPr>
          <w:rFonts w:ascii="Times New Roman" w:eastAsia="宋体" w:hAnsi="Times New Roman" w:cs="Times New Roman" w:hint="eastAsia"/>
          <w:sz w:val="24"/>
          <w:szCs w:val="24"/>
        </w:rPr>
        <w:t>优化</w:t>
      </w:r>
      <w:r w:rsidR="006E6389" w:rsidRPr="002959D2">
        <w:rPr>
          <w:rFonts w:ascii="Times New Roman" w:eastAsia="宋体" w:hAnsi="Times New Roman" w:cs="Times New Roman" w:hint="eastAsia"/>
          <w:sz w:val="24"/>
          <w:szCs w:val="24"/>
        </w:rPr>
        <w:t>资产与负债</w:t>
      </w:r>
      <w:r>
        <w:rPr>
          <w:rFonts w:ascii="Times New Roman" w:eastAsia="宋体" w:hAnsi="Times New Roman" w:cs="Times New Roman" w:hint="eastAsia"/>
          <w:sz w:val="24"/>
          <w:szCs w:val="24"/>
        </w:rPr>
        <w:t>全球</w:t>
      </w:r>
      <w:r w:rsidR="006E6389" w:rsidRPr="002959D2">
        <w:rPr>
          <w:rFonts w:ascii="Times New Roman" w:eastAsia="宋体" w:hAnsi="Times New Roman" w:cs="Times New Roman" w:hint="eastAsia"/>
          <w:sz w:val="24"/>
          <w:szCs w:val="24"/>
        </w:rPr>
        <w:t>布局，深度统筹“走出去”“引进来”，有效提升内外链接水平，助力国内大循环与国际</w:t>
      </w:r>
      <w:r>
        <w:rPr>
          <w:rFonts w:ascii="Times New Roman" w:eastAsia="宋体" w:hAnsi="Times New Roman" w:cs="Times New Roman" w:hint="eastAsia"/>
          <w:sz w:val="24"/>
          <w:szCs w:val="24"/>
        </w:rPr>
        <w:t>大循环相互促进。一方面，扩大海外投资，让资本“走出去”。积极优化</w:t>
      </w:r>
      <w:r w:rsidR="006E6389" w:rsidRPr="002959D2">
        <w:rPr>
          <w:rFonts w:ascii="Times New Roman" w:eastAsia="宋体" w:hAnsi="Times New Roman" w:cs="Times New Roman" w:hint="eastAsia"/>
          <w:sz w:val="24"/>
          <w:szCs w:val="24"/>
        </w:rPr>
        <w:t>资产</w:t>
      </w:r>
      <w:r>
        <w:rPr>
          <w:rFonts w:ascii="Times New Roman" w:eastAsia="宋体" w:hAnsi="Times New Roman" w:cs="Times New Roman" w:hint="eastAsia"/>
          <w:sz w:val="24"/>
          <w:szCs w:val="24"/>
        </w:rPr>
        <w:t>投资</w:t>
      </w:r>
      <w:r w:rsidR="006E6389" w:rsidRPr="002959D2">
        <w:rPr>
          <w:rFonts w:ascii="Times New Roman" w:eastAsia="宋体" w:hAnsi="Times New Roman" w:cs="Times New Roman" w:hint="eastAsia"/>
          <w:sz w:val="24"/>
          <w:szCs w:val="24"/>
        </w:rPr>
        <w:t>策略，全面加强</w:t>
      </w:r>
      <w:r>
        <w:rPr>
          <w:rFonts w:ascii="Times New Roman" w:eastAsia="宋体" w:hAnsi="Times New Roman" w:cs="Times New Roman" w:hint="eastAsia"/>
          <w:sz w:val="24"/>
          <w:szCs w:val="24"/>
        </w:rPr>
        <w:t>国际投资的境外合作，提升境外资产运作能力和水平，在保障境外资产</w:t>
      </w:r>
      <w:r w:rsidR="006E6389" w:rsidRPr="002959D2">
        <w:rPr>
          <w:rFonts w:ascii="Times New Roman" w:eastAsia="宋体" w:hAnsi="Times New Roman" w:cs="Times New Roman" w:hint="eastAsia"/>
          <w:sz w:val="24"/>
          <w:szCs w:val="24"/>
        </w:rPr>
        <w:t>安全的</w:t>
      </w:r>
      <w:r w:rsidR="00A840B8">
        <w:rPr>
          <w:rFonts w:ascii="Times New Roman" w:eastAsia="宋体" w:hAnsi="Times New Roman" w:cs="Times New Roman" w:hint="eastAsia"/>
          <w:sz w:val="24"/>
          <w:szCs w:val="24"/>
        </w:rPr>
        <w:t>基础</w:t>
      </w:r>
      <w:r w:rsidR="006E6389" w:rsidRPr="002959D2">
        <w:rPr>
          <w:rFonts w:ascii="Times New Roman" w:eastAsia="宋体" w:hAnsi="Times New Roman" w:cs="Times New Roman" w:hint="eastAsia"/>
          <w:sz w:val="24"/>
          <w:szCs w:val="24"/>
        </w:rPr>
        <w:t>上，着力提升资产收益率。另一方面，积极提供全球资产，把资本“引进来”。要基于中国</w:t>
      </w:r>
      <w:r w:rsidR="00E46090">
        <w:rPr>
          <w:rFonts w:ascii="Times New Roman" w:eastAsia="宋体" w:hAnsi="Times New Roman" w:cs="Times New Roman" w:hint="eastAsia"/>
          <w:sz w:val="24"/>
          <w:szCs w:val="24"/>
        </w:rPr>
        <w:t>庞大</w:t>
      </w:r>
      <w:r w:rsidR="006E6389" w:rsidRPr="002959D2">
        <w:rPr>
          <w:rFonts w:ascii="Times New Roman" w:eastAsia="宋体" w:hAnsi="Times New Roman" w:cs="Times New Roman" w:hint="eastAsia"/>
          <w:sz w:val="24"/>
          <w:szCs w:val="24"/>
        </w:rPr>
        <w:t>经济体量、统一大市场和市场</w:t>
      </w:r>
      <w:r>
        <w:rPr>
          <w:rFonts w:ascii="Times New Roman" w:eastAsia="宋体" w:hAnsi="Times New Roman" w:cs="Times New Roman" w:hint="eastAsia"/>
          <w:sz w:val="24"/>
          <w:szCs w:val="24"/>
        </w:rPr>
        <w:t>需求，继续提供外商直接投资、产能扩张和技术应用的市场空间，提升境外资本在直接投资</w:t>
      </w:r>
      <w:r w:rsidR="006E6389" w:rsidRPr="002959D2">
        <w:rPr>
          <w:rFonts w:ascii="Times New Roman" w:eastAsia="宋体" w:hAnsi="Times New Roman" w:cs="Times New Roman" w:hint="eastAsia"/>
          <w:sz w:val="24"/>
          <w:szCs w:val="24"/>
        </w:rPr>
        <w:t>或产业领域的商业存在和利益关联。同时</w:t>
      </w:r>
      <w:r w:rsidR="004D5421">
        <w:rPr>
          <w:rFonts w:ascii="Times New Roman" w:eastAsia="宋体" w:hAnsi="Times New Roman" w:cs="Times New Roman" w:hint="eastAsia"/>
          <w:sz w:val="24"/>
          <w:szCs w:val="24"/>
        </w:rPr>
        <w:t>，加快补齐金融资产发展短板，有效稳定人民币、房地产、股票市场等资产价格，积极开发高质量资产，</w:t>
      </w:r>
      <w:r w:rsidR="006E6389" w:rsidRPr="002959D2">
        <w:rPr>
          <w:rFonts w:ascii="Times New Roman" w:eastAsia="宋体" w:hAnsi="Times New Roman" w:cs="Times New Roman" w:hint="eastAsia"/>
          <w:sz w:val="24"/>
          <w:szCs w:val="24"/>
        </w:rPr>
        <w:t>提供具有逆周期</w:t>
      </w:r>
      <w:r w:rsidR="004D5421">
        <w:rPr>
          <w:rFonts w:ascii="Times New Roman" w:eastAsia="宋体" w:hAnsi="Times New Roman" w:cs="Times New Roman" w:hint="eastAsia"/>
          <w:sz w:val="24"/>
          <w:szCs w:val="24"/>
        </w:rPr>
        <w:t>效应或安全港效应的安全资产，提升中国资产</w:t>
      </w:r>
      <w:r w:rsidR="006E6389" w:rsidRPr="002959D2">
        <w:rPr>
          <w:rFonts w:ascii="Times New Roman" w:eastAsia="宋体" w:hAnsi="Times New Roman" w:cs="Times New Roman" w:hint="eastAsia"/>
          <w:sz w:val="24"/>
          <w:szCs w:val="24"/>
        </w:rPr>
        <w:t>吸引力。</w:t>
      </w:r>
    </w:p>
    <w:p w14:paraId="4D34D800" w14:textId="232D7239" w:rsidR="00601CA8" w:rsidRPr="002959D2" w:rsidRDefault="004D5421"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Pr>
          <w:rFonts w:ascii="Times New Roman" w:eastAsia="宋体" w:hAnsi="Times New Roman" w:cs="Times New Roman" w:hint="eastAsia"/>
          <w:sz w:val="24"/>
          <w:szCs w:val="24"/>
        </w:rPr>
        <w:t>结合经济发展、结构调整</w:t>
      </w:r>
      <w:r w:rsidR="006E6389" w:rsidRPr="002959D2">
        <w:rPr>
          <w:rFonts w:ascii="Times New Roman" w:eastAsia="宋体" w:hAnsi="Times New Roman" w:cs="Times New Roman" w:hint="eastAsia"/>
          <w:sz w:val="24"/>
          <w:szCs w:val="24"/>
        </w:rPr>
        <w:t>及内外</w:t>
      </w:r>
      <w:r w:rsidR="008C1DB7" w:rsidRPr="002959D2">
        <w:rPr>
          <w:rFonts w:ascii="Times New Roman" w:eastAsia="宋体" w:hAnsi="Times New Roman" w:cs="Times New Roman" w:hint="eastAsia"/>
          <w:sz w:val="24"/>
          <w:szCs w:val="24"/>
        </w:rPr>
        <w:t>均衡</w:t>
      </w:r>
      <w:r>
        <w:rPr>
          <w:rFonts w:ascii="Times New Roman" w:eastAsia="宋体" w:hAnsi="Times New Roman" w:cs="Times New Roman" w:hint="eastAsia"/>
          <w:sz w:val="24"/>
          <w:szCs w:val="24"/>
        </w:rPr>
        <w:t>目标</w:t>
      </w:r>
      <w:r w:rsidR="006E6389" w:rsidRPr="002959D2">
        <w:rPr>
          <w:rFonts w:ascii="Times New Roman" w:eastAsia="宋体" w:hAnsi="Times New Roman" w:cs="Times New Roman" w:hint="eastAsia"/>
          <w:sz w:val="24"/>
          <w:szCs w:val="24"/>
        </w:rPr>
        <w:t>，提</w:t>
      </w:r>
      <w:r>
        <w:rPr>
          <w:rFonts w:ascii="Times New Roman" w:eastAsia="宋体" w:hAnsi="Times New Roman" w:cs="Times New Roman" w:hint="eastAsia"/>
          <w:sz w:val="24"/>
          <w:szCs w:val="24"/>
        </w:rPr>
        <w:t>升海外直接投资总量规模，不断优化海外直接投资结构，加强中国与全球</w:t>
      </w:r>
      <w:r w:rsidR="006E6389" w:rsidRPr="002959D2">
        <w:rPr>
          <w:rFonts w:ascii="Times New Roman" w:eastAsia="宋体" w:hAnsi="Times New Roman" w:cs="Times New Roman" w:hint="eastAsia"/>
          <w:sz w:val="24"/>
          <w:szCs w:val="24"/>
        </w:rPr>
        <w:t>产业链的关联融合程度，有效提升全球产业链和价值链的弹性韧性。</w:t>
      </w:r>
      <w:r w:rsidR="000E08DC" w:rsidRPr="002959D2">
        <w:rPr>
          <w:rFonts w:ascii="Times New Roman" w:eastAsia="宋体" w:hAnsi="Times New Roman" w:cs="Times New Roman" w:hint="eastAsia"/>
          <w:sz w:val="24"/>
          <w:szCs w:val="24"/>
        </w:rPr>
        <w:t>在</w:t>
      </w:r>
      <w:r>
        <w:rPr>
          <w:rFonts w:ascii="Times New Roman" w:eastAsia="宋体" w:hAnsi="Times New Roman" w:cs="Times New Roman" w:hint="eastAsia"/>
          <w:sz w:val="24"/>
          <w:szCs w:val="24"/>
        </w:rPr>
        <w:t>全球</w:t>
      </w:r>
      <w:r w:rsidR="000E08DC" w:rsidRPr="002959D2">
        <w:rPr>
          <w:rFonts w:ascii="Times New Roman" w:eastAsia="宋体" w:hAnsi="Times New Roman" w:cs="Times New Roman" w:hint="eastAsia"/>
          <w:sz w:val="24"/>
          <w:szCs w:val="24"/>
        </w:rPr>
        <w:t>资产发展上</w:t>
      </w:r>
      <w:r>
        <w:rPr>
          <w:rFonts w:ascii="Times New Roman" w:eastAsia="宋体" w:hAnsi="Times New Roman" w:cs="Times New Roman" w:hint="eastAsia"/>
          <w:sz w:val="24"/>
          <w:szCs w:val="24"/>
        </w:rPr>
        <w:t>，</w:t>
      </w:r>
      <w:r w:rsidR="006E6389" w:rsidRPr="002959D2">
        <w:rPr>
          <w:rFonts w:ascii="Times New Roman" w:eastAsia="宋体" w:hAnsi="Times New Roman" w:cs="Times New Roman" w:hint="eastAsia"/>
          <w:sz w:val="24"/>
          <w:szCs w:val="24"/>
        </w:rPr>
        <w:t>要注重</w:t>
      </w:r>
      <w:r>
        <w:rPr>
          <w:rFonts w:ascii="Times New Roman" w:eastAsia="宋体" w:hAnsi="Times New Roman" w:cs="Times New Roman" w:hint="eastAsia"/>
          <w:sz w:val="24"/>
          <w:szCs w:val="24"/>
        </w:rPr>
        <w:t>中国国债的全球安全资产功能</w:t>
      </w:r>
      <w:r w:rsidR="00E46090">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这在中国全球资产与负债布局中具有长远的战略意义</w:t>
      </w:r>
      <w:r w:rsidR="006E6389" w:rsidRPr="002959D2">
        <w:rPr>
          <w:rFonts w:ascii="Times New Roman" w:eastAsia="宋体" w:hAnsi="Times New Roman" w:cs="Times New Roman" w:hint="eastAsia"/>
          <w:sz w:val="24"/>
          <w:szCs w:val="24"/>
        </w:rPr>
        <w:t>。中国的国债无疑是国内金融体系的安全资产，其收益率发挥着无风险收益率或定价基准功能。随着中国金融体系开放不断深化，国内金融市场与国际金融市场的互动</w:t>
      </w:r>
      <w:r w:rsidR="000D7687">
        <w:rPr>
          <w:rFonts w:ascii="Times New Roman" w:eastAsia="宋体" w:hAnsi="Times New Roman" w:cs="Times New Roman" w:hint="eastAsia"/>
          <w:sz w:val="24"/>
          <w:szCs w:val="24"/>
        </w:rPr>
        <w:t>日益</w:t>
      </w:r>
      <w:r w:rsidR="006E6389" w:rsidRPr="002959D2">
        <w:rPr>
          <w:rFonts w:ascii="Times New Roman" w:eastAsia="宋体" w:hAnsi="Times New Roman" w:cs="Times New Roman" w:hint="eastAsia"/>
          <w:sz w:val="24"/>
          <w:szCs w:val="24"/>
        </w:rPr>
        <w:t>加深，中国国债</w:t>
      </w:r>
      <w:r>
        <w:rPr>
          <w:rFonts w:ascii="Times New Roman" w:eastAsia="宋体" w:hAnsi="Times New Roman" w:cs="Times New Roman" w:hint="eastAsia"/>
          <w:sz w:val="24"/>
          <w:szCs w:val="24"/>
        </w:rPr>
        <w:t>将</w:t>
      </w:r>
      <w:r w:rsidR="006E6389" w:rsidRPr="002959D2">
        <w:rPr>
          <w:rFonts w:ascii="Times New Roman" w:eastAsia="宋体" w:hAnsi="Times New Roman" w:cs="Times New Roman" w:hint="eastAsia"/>
          <w:sz w:val="24"/>
          <w:szCs w:val="24"/>
        </w:rPr>
        <w:t>逐步成为境外投资者的配置品种，直至成为全球金融安全资产。对照</w:t>
      </w:r>
      <w:r w:rsidR="000E08DC" w:rsidRPr="002959D2">
        <w:rPr>
          <w:rFonts w:ascii="Times New Roman" w:eastAsia="宋体" w:hAnsi="Times New Roman" w:cs="Times New Roman" w:hint="eastAsia"/>
          <w:sz w:val="24"/>
          <w:szCs w:val="24"/>
        </w:rPr>
        <w:t>安全资产要求，</w:t>
      </w:r>
      <w:r w:rsidR="006E6389" w:rsidRPr="002959D2">
        <w:rPr>
          <w:rFonts w:ascii="Times New Roman" w:eastAsia="宋体" w:hAnsi="Times New Roman" w:cs="Times New Roman" w:hint="eastAsia"/>
          <w:sz w:val="24"/>
          <w:szCs w:val="24"/>
        </w:rPr>
        <w:t>中国国债距离全球</w:t>
      </w:r>
      <w:r w:rsidR="000E08DC" w:rsidRPr="002959D2">
        <w:rPr>
          <w:rFonts w:ascii="Times New Roman" w:eastAsia="宋体" w:hAnsi="Times New Roman" w:cs="Times New Roman" w:hint="eastAsia"/>
          <w:sz w:val="24"/>
          <w:szCs w:val="24"/>
        </w:rPr>
        <w:t>安全</w:t>
      </w:r>
      <w:r w:rsidR="006E6389" w:rsidRPr="002959D2">
        <w:rPr>
          <w:rFonts w:ascii="Times New Roman" w:eastAsia="宋体" w:hAnsi="Times New Roman" w:cs="Times New Roman" w:hint="eastAsia"/>
          <w:sz w:val="24"/>
          <w:szCs w:val="24"/>
        </w:rPr>
        <w:t>金融资产地位仍有一定差距，未来需要着重强化三个方面的工作。一是要考虑逐步扩大国债的发行规模，形成更具有深度的高等级债券市场；二是要积极发展政策性金融债、金融债等类安全资产债券，进一步扩大债券市场广度和深度；三</w:t>
      </w:r>
      <w:r w:rsidR="00FD1C36">
        <w:rPr>
          <w:rFonts w:ascii="Times New Roman" w:eastAsia="宋体" w:hAnsi="Times New Roman" w:cs="Times New Roman" w:hint="eastAsia"/>
          <w:sz w:val="24"/>
          <w:szCs w:val="24"/>
        </w:rPr>
        <w:t>是</w:t>
      </w:r>
      <w:r w:rsidR="006E6389" w:rsidRPr="002959D2">
        <w:rPr>
          <w:rFonts w:ascii="Times New Roman" w:eastAsia="宋体" w:hAnsi="Times New Roman" w:cs="Times New Roman" w:hint="eastAsia"/>
          <w:sz w:val="24"/>
          <w:szCs w:val="24"/>
        </w:rPr>
        <w:t>要通过国际收支调整、国际投资优化、货币互换、区域或全球金融风险合作处置等机制来强</w:t>
      </w:r>
      <w:r>
        <w:rPr>
          <w:rFonts w:ascii="Times New Roman" w:eastAsia="宋体" w:hAnsi="Times New Roman" w:cs="Times New Roman" w:hint="eastAsia"/>
          <w:sz w:val="24"/>
          <w:szCs w:val="24"/>
        </w:rPr>
        <w:t>化中国国债作为全球安全资产的作用。当然，</w:t>
      </w:r>
      <w:r w:rsidR="006E6389" w:rsidRPr="002959D2">
        <w:rPr>
          <w:rFonts w:ascii="Times New Roman" w:eastAsia="宋体" w:hAnsi="Times New Roman" w:cs="Times New Roman" w:hint="eastAsia"/>
          <w:sz w:val="24"/>
          <w:szCs w:val="24"/>
        </w:rPr>
        <w:t>中国向外提供高质量金融资产</w:t>
      </w:r>
      <w:proofErr w:type="gramStart"/>
      <w:r w:rsidR="0004225B" w:rsidRPr="002959D2">
        <w:rPr>
          <w:rFonts w:ascii="Times New Roman" w:eastAsia="宋体" w:hAnsi="Times New Roman" w:cs="Times New Roman" w:hint="eastAsia"/>
          <w:sz w:val="24"/>
          <w:szCs w:val="24"/>
        </w:rPr>
        <w:t>须</w:t>
      </w:r>
      <w:r w:rsidR="006E6389" w:rsidRPr="002959D2">
        <w:rPr>
          <w:rFonts w:ascii="Times New Roman" w:eastAsia="宋体" w:hAnsi="Times New Roman" w:cs="Times New Roman" w:hint="eastAsia"/>
          <w:sz w:val="24"/>
          <w:szCs w:val="24"/>
        </w:rPr>
        <w:t>有效</w:t>
      </w:r>
      <w:proofErr w:type="gramEnd"/>
      <w:r w:rsidR="006E6389" w:rsidRPr="002959D2">
        <w:rPr>
          <w:rFonts w:ascii="Times New Roman" w:eastAsia="宋体" w:hAnsi="Times New Roman" w:cs="Times New Roman" w:hint="eastAsia"/>
          <w:sz w:val="24"/>
          <w:szCs w:val="24"/>
        </w:rPr>
        <w:t>统筹资产负债</w:t>
      </w:r>
      <w:r w:rsidR="000E08DC" w:rsidRPr="002959D2">
        <w:rPr>
          <w:rFonts w:ascii="Times New Roman" w:eastAsia="宋体" w:hAnsi="Times New Roman" w:cs="Times New Roman" w:hint="eastAsia"/>
          <w:sz w:val="24"/>
          <w:szCs w:val="24"/>
        </w:rPr>
        <w:t>关系</w:t>
      </w:r>
      <w:r>
        <w:rPr>
          <w:rFonts w:ascii="Times New Roman" w:eastAsia="宋体" w:hAnsi="Times New Roman" w:cs="Times New Roman" w:hint="eastAsia"/>
          <w:sz w:val="24"/>
          <w:szCs w:val="24"/>
        </w:rPr>
        <w:t>并防范</w:t>
      </w:r>
      <w:r w:rsidR="0004225B" w:rsidRPr="002959D2">
        <w:rPr>
          <w:rFonts w:ascii="Times New Roman" w:eastAsia="宋体" w:hAnsi="Times New Roman" w:cs="Times New Roman" w:hint="eastAsia"/>
          <w:sz w:val="24"/>
          <w:szCs w:val="24"/>
        </w:rPr>
        <w:t>潜在</w:t>
      </w:r>
      <w:r w:rsidR="006E6389" w:rsidRPr="002959D2">
        <w:rPr>
          <w:rFonts w:ascii="Times New Roman" w:eastAsia="宋体" w:hAnsi="Times New Roman" w:cs="Times New Roman" w:hint="eastAsia"/>
          <w:sz w:val="24"/>
          <w:szCs w:val="24"/>
        </w:rPr>
        <w:t>风险。</w:t>
      </w:r>
    </w:p>
    <w:p w14:paraId="7B704EE2" w14:textId="33735120" w:rsidR="00532AC9" w:rsidRPr="002959D2" w:rsidRDefault="000D2801"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sidRPr="002959D2">
        <w:rPr>
          <w:rFonts w:ascii="Times New Roman" w:eastAsia="宋体" w:hAnsi="Times New Roman" w:cs="Times New Roman" w:hint="eastAsia"/>
          <w:sz w:val="24"/>
          <w:szCs w:val="24"/>
        </w:rPr>
        <w:t>4</w:t>
      </w:r>
      <w:r w:rsidR="002B2B46" w:rsidRPr="002959D2">
        <w:rPr>
          <w:rFonts w:ascii="Times New Roman" w:eastAsia="宋体" w:hAnsi="Times New Roman" w:cs="Times New Roman" w:hint="eastAsia"/>
          <w:sz w:val="24"/>
          <w:szCs w:val="24"/>
        </w:rPr>
        <w:t>.</w:t>
      </w:r>
      <w:r w:rsidR="002334E1" w:rsidRPr="002959D2">
        <w:rPr>
          <w:rFonts w:ascii="Times New Roman" w:eastAsia="宋体" w:hAnsi="Times New Roman" w:cs="Times New Roman" w:hint="eastAsia"/>
          <w:sz w:val="24"/>
          <w:szCs w:val="24"/>
        </w:rPr>
        <w:t>把握数字技术前沿，</w:t>
      </w:r>
      <w:r w:rsidR="00C04C25" w:rsidRPr="002959D2">
        <w:rPr>
          <w:rFonts w:ascii="Times New Roman" w:eastAsia="宋体" w:hAnsi="Times New Roman" w:cs="Times New Roman" w:hint="eastAsia"/>
          <w:sz w:val="24"/>
          <w:szCs w:val="24"/>
        </w:rPr>
        <w:t>提升</w:t>
      </w:r>
      <w:r w:rsidR="002334E1" w:rsidRPr="002959D2">
        <w:rPr>
          <w:rFonts w:ascii="Times New Roman" w:eastAsia="宋体" w:hAnsi="Times New Roman" w:cs="Times New Roman" w:hint="eastAsia"/>
          <w:sz w:val="24"/>
          <w:szCs w:val="24"/>
        </w:rPr>
        <w:t>数字金融竞争力</w:t>
      </w:r>
    </w:p>
    <w:p w14:paraId="363051A1" w14:textId="736DA787" w:rsidR="00D64A49" w:rsidRPr="00076328" w:rsidRDefault="00D5785E" w:rsidP="00AF0AF5">
      <w:pPr>
        <w:adjustRightInd w:val="0"/>
        <w:snapToGrid w:val="0"/>
        <w:spacing w:before="100" w:beforeAutospacing="1" w:after="100" w:afterAutospacing="1" w:line="360" w:lineRule="auto"/>
        <w:ind w:firstLineChars="200" w:firstLine="480"/>
        <w:contextualSpacing/>
        <w:rPr>
          <w:rFonts w:ascii="宋体" w:eastAsia="宋体" w:hAnsi="宋体" w:cs="Times New Roman"/>
          <w:sz w:val="24"/>
          <w:szCs w:val="24"/>
        </w:rPr>
      </w:pPr>
      <w:r w:rsidRPr="00076328">
        <w:rPr>
          <w:rFonts w:ascii="宋体" w:eastAsia="宋体" w:hAnsi="宋体" w:cs="Times New Roman" w:hint="eastAsia"/>
          <w:sz w:val="24"/>
          <w:szCs w:val="24"/>
        </w:rPr>
        <w:t>数字金融是大国</w:t>
      </w:r>
      <w:r w:rsidR="006071C7" w:rsidRPr="00076328">
        <w:rPr>
          <w:rFonts w:ascii="宋体" w:eastAsia="宋体" w:hAnsi="宋体" w:cs="Times New Roman" w:hint="eastAsia"/>
          <w:sz w:val="24"/>
          <w:szCs w:val="24"/>
        </w:rPr>
        <w:t>金融</w:t>
      </w:r>
      <w:r w:rsidRPr="00076328">
        <w:rPr>
          <w:rFonts w:ascii="宋体" w:eastAsia="宋体" w:hAnsi="宋体" w:cs="Times New Roman" w:hint="eastAsia"/>
          <w:sz w:val="24"/>
          <w:szCs w:val="24"/>
        </w:rPr>
        <w:t>博弈的新高地，是“换道超车”的新战场。我国要</w:t>
      </w:r>
      <w:r w:rsidR="0000584A" w:rsidRPr="00076328">
        <w:rPr>
          <w:rFonts w:ascii="宋体" w:eastAsia="宋体" w:hAnsi="宋体" w:cs="Times New Roman" w:hint="eastAsia"/>
          <w:sz w:val="24"/>
          <w:szCs w:val="24"/>
        </w:rPr>
        <w:t>着力</w:t>
      </w:r>
      <w:r w:rsidR="002D2D6F" w:rsidRPr="00076328">
        <w:rPr>
          <w:rFonts w:ascii="宋体" w:eastAsia="宋体" w:hAnsi="宋体" w:cs="Times New Roman" w:hint="eastAsia"/>
          <w:sz w:val="24"/>
          <w:szCs w:val="24"/>
        </w:rPr>
        <w:t>把握数字技术发展方向，</w:t>
      </w:r>
      <w:r w:rsidR="002334E1" w:rsidRPr="00076328">
        <w:rPr>
          <w:rFonts w:ascii="宋体" w:eastAsia="宋体" w:hAnsi="宋体" w:cs="Times New Roman" w:hint="eastAsia"/>
          <w:sz w:val="24"/>
          <w:szCs w:val="24"/>
        </w:rPr>
        <w:t>锻造</w:t>
      </w:r>
      <w:r w:rsidR="0000584A" w:rsidRPr="00076328">
        <w:rPr>
          <w:rFonts w:ascii="宋体" w:eastAsia="宋体" w:hAnsi="宋体" w:cs="Times New Roman" w:hint="eastAsia"/>
          <w:sz w:val="24"/>
          <w:szCs w:val="24"/>
        </w:rPr>
        <w:t>数字金融</w:t>
      </w:r>
      <w:r w:rsidR="00D64A49" w:rsidRPr="00076328">
        <w:rPr>
          <w:rFonts w:ascii="宋体" w:eastAsia="宋体" w:hAnsi="宋体" w:cs="Times New Roman" w:hint="eastAsia"/>
          <w:sz w:val="24"/>
          <w:szCs w:val="24"/>
        </w:rPr>
        <w:t>发展内驱力和</w:t>
      </w:r>
      <w:r w:rsidR="002B2B46" w:rsidRPr="00076328">
        <w:rPr>
          <w:rFonts w:ascii="宋体" w:eastAsia="宋体" w:hAnsi="宋体" w:cs="Times New Roman"/>
          <w:sz w:val="24"/>
          <w:szCs w:val="24"/>
        </w:rPr>
        <w:t>国际竞争力。一是平衡好强监管与包容式发展的关系，在坚</w:t>
      </w:r>
      <w:r w:rsidRPr="00076328">
        <w:rPr>
          <w:rFonts w:ascii="宋体" w:eastAsia="宋体" w:hAnsi="宋体" w:cs="Times New Roman"/>
          <w:sz w:val="24"/>
          <w:szCs w:val="24"/>
        </w:rPr>
        <w:t>持所有金融活动全面纳入监管和严厉打击非法金融活动的原则下，鼓励</w:t>
      </w:r>
      <w:r w:rsidR="002B2B46" w:rsidRPr="00076328">
        <w:rPr>
          <w:rFonts w:ascii="宋体" w:eastAsia="宋体" w:hAnsi="宋体" w:cs="Times New Roman"/>
          <w:sz w:val="24"/>
          <w:szCs w:val="24"/>
        </w:rPr>
        <w:t>包容和</w:t>
      </w:r>
      <w:r w:rsidRPr="00076328">
        <w:rPr>
          <w:rFonts w:ascii="宋体" w:eastAsia="宋体" w:hAnsi="宋体" w:cs="Times New Roman" w:hint="eastAsia"/>
          <w:sz w:val="24"/>
          <w:szCs w:val="24"/>
        </w:rPr>
        <w:t>有序</w:t>
      </w:r>
      <w:r w:rsidR="002B2B46" w:rsidRPr="00076328">
        <w:rPr>
          <w:rFonts w:ascii="宋体" w:eastAsia="宋体" w:hAnsi="宋体" w:cs="Times New Roman"/>
          <w:sz w:val="24"/>
          <w:szCs w:val="24"/>
        </w:rPr>
        <w:t>监管持牌机构的创新活动和新型</w:t>
      </w:r>
      <w:r w:rsidRPr="00076328">
        <w:rPr>
          <w:rFonts w:ascii="宋体" w:eastAsia="宋体" w:hAnsi="宋体" w:cs="Times New Roman" w:hint="eastAsia"/>
          <w:sz w:val="24"/>
          <w:szCs w:val="24"/>
        </w:rPr>
        <w:t>机构</w:t>
      </w:r>
      <w:r w:rsidR="002B2B46" w:rsidRPr="00076328">
        <w:rPr>
          <w:rFonts w:ascii="宋体" w:eastAsia="宋体" w:hAnsi="宋体" w:cs="Times New Roman"/>
          <w:sz w:val="24"/>
          <w:szCs w:val="24"/>
        </w:rPr>
        <w:t>金融创新，运用“监管沙盒”</w:t>
      </w:r>
      <w:r w:rsidRPr="00076328">
        <w:rPr>
          <w:rFonts w:ascii="宋体" w:eastAsia="宋体" w:hAnsi="宋体" w:cs="Times New Roman" w:hint="eastAsia"/>
          <w:sz w:val="24"/>
          <w:szCs w:val="24"/>
        </w:rPr>
        <w:t>或其他类似机制</w:t>
      </w:r>
      <w:r w:rsidRPr="00076328">
        <w:rPr>
          <w:rFonts w:ascii="宋体" w:eastAsia="宋体" w:hAnsi="宋体" w:cs="Times New Roman"/>
          <w:sz w:val="24"/>
          <w:szCs w:val="24"/>
        </w:rPr>
        <w:t>，</w:t>
      </w:r>
      <w:r w:rsidRPr="00076328">
        <w:rPr>
          <w:rFonts w:ascii="宋体" w:eastAsia="宋体" w:hAnsi="宋体" w:cs="Times New Roman" w:hint="eastAsia"/>
          <w:sz w:val="24"/>
          <w:szCs w:val="24"/>
        </w:rPr>
        <w:t>为</w:t>
      </w:r>
      <w:r w:rsidR="002B2B46" w:rsidRPr="00076328">
        <w:rPr>
          <w:rFonts w:ascii="宋体" w:eastAsia="宋体" w:hAnsi="宋体" w:cs="Times New Roman"/>
          <w:sz w:val="24"/>
          <w:szCs w:val="24"/>
        </w:rPr>
        <w:t>金融创新特别是数字金融创新发展</w:t>
      </w:r>
      <w:r w:rsidR="0000584A" w:rsidRPr="00076328">
        <w:rPr>
          <w:rFonts w:ascii="宋体" w:eastAsia="宋体" w:hAnsi="宋体" w:cs="Times New Roman" w:hint="eastAsia"/>
          <w:sz w:val="24"/>
          <w:szCs w:val="24"/>
        </w:rPr>
        <w:t>提供</w:t>
      </w:r>
      <w:r w:rsidR="00D64A49" w:rsidRPr="00076328">
        <w:rPr>
          <w:rFonts w:ascii="宋体" w:eastAsia="宋体" w:hAnsi="宋体" w:cs="Times New Roman" w:hint="eastAsia"/>
          <w:sz w:val="24"/>
          <w:szCs w:val="24"/>
        </w:rPr>
        <w:t>制</w:t>
      </w:r>
      <w:r w:rsidR="004D5421">
        <w:rPr>
          <w:rFonts w:ascii="宋体" w:eastAsia="宋体" w:hAnsi="宋体" w:cs="Times New Roman" w:hint="eastAsia"/>
          <w:sz w:val="24"/>
          <w:szCs w:val="24"/>
        </w:rPr>
        <w:t>度空间</w:t>
      </w:r>
      <w:r w:rsidR="002B2B46" w:rsidRPr="00076328">
        <w:rPr>
          <w:rFonts w:ascii="宋体" w:eastAsia="宋体" w:hAnsi="宋体" w:cs="Times New Roman"/>
          <w:sz w:val="24"/>
          <w:szCs w:val="24"/>
        </w:rPr>
        <w:t>。二是要厘清市场运行和金融监管的边界，提高监管政策的透明度和</w:t>
      </w:r>
      <w:proofErr w:type="gramStart"/>
      <w:r w:rsidR="002B2B46" w:rsidRPr="00076328">
        <w:rPr>
          <w:rFonts w:ascii="宋体" w:eastAsia="宋体" w:hAnsi="宋体" w:cs="Times New Roman"/>
          <w:sz w:val="24"/>
          <w:szCs w:val="24"/>
        </w:rPr>
        <w:t>可</w:t>
      </w:r>
      <w:proofErr w:type="gramEnd"/>
      <w:r w:rsidR="002B2B46" w:rsidRPr="00076328">
        <w:rPr>
          <w:rFonts w:ascii="宋体" w:eastAsia="宋体" w:hAnsi="宋体" w:cs="Times New Roman"/>
          <w:sz w:val="24"/>
          <w:szCs w:val="24"/>
        </w:rPr>
        <w:t>预期性，给金融创新和金融市场传递稳定预期，有效避免过度使用行政化</w:t>
      </w:r>
      <w:r w:rsidRPr="00076328">
        <w:rPr>
          <w:rFonts w:ascii="宋体" w:eastAsia="宋体" w:hAnsi="宋体" w:cs="Times New Roman"/>
          <w:sz w:val="24"/>
          <w:szCs w:val="24"/>
        </w:rPr>
        <w:t>监管手段挫伤市场信心和创新动能。三是</w:t>
      </w:r>
      <w:r w:rsidRPr="00076328">
        <w:rPr>
          <w:rFonts w:ascii="宋体" w:eastAsia="宋体" w:hAnsi="宋体" w:cs="Times New Roman" w:hint="eastAsia"/>
          <w:sz w:val="24"/>
          <w:szCs w:val="24"/>
        </w:rPr>
        <w:t>以技术创新引领</w:t>
      </w:r>
      <w:r w:rsidRPr="00076328">
        <w:rPr>
          <w:rFonts w:ascii="宋体" w:eastAsia="宋体" w:hAnsi="宋体" w:cs="Times New Roman"/>
          <w:sz w:val="24"/>
          <w:szCs w:val="24"/>
        </w:rPr>
        <w:t>数字金融</w:t>
      </w:r>
      <w:r w:rsidRPr="00076328">
        <w:rPr>
          <w:rFonts w:ascii="宋体" w:eastAsia="宋体" w:hAnsi="宋体" w:cs="Times New Roman" w:hint="eastAsia"/>
          <w:sz w:val="24"/>
          <w:szCs w:val="24"/>
        </w:rPr>
        <w:t>发展</w:t>
      </w:r>
      <w:r w:rsidR="004D5421">
        <w:rPr>
          <w:rFonts w:ascii="宋体" w:eastAsia="宋体" w:hAnsi="宋体" w:cs="Times New Roman"/>
          <w:sz w:val="24"/>
          <w:szCs w:val="24"/>
        </w:rPr>
        <w:t>。</w:t>
      </w:r>
      <w:r w:rsidR="002B2B46" w:rsidRPr="00076328">
        <w:rPr>
          <w:rFonts w:ascii="宋体" w:eastAsia="宋体" w:hAnsi="宋体" w:cs="Times New Roman"/>
          <w:sz w:val="24"/>
          <w:szCs w:val="24"/>
        </w:rPr>
        <w:t>紧跟国际</w:t>
      </w:r>
      <w:r w:rsidR="00D62215" w:rsidRPr="00076328">
        <w:rPr>
          <w:rFonts w:ascii="宋体" w:eastAsia="宋体" w:hAnsi="宋体" w:cs="Times New Roman" w:hint="eastAsia"/>
          <w:sz w:val="24"/>
          <w:szCs w:val="24"/>
        </w:rPr>
        <w:t>技术</w:t>
      </w:r>
      <w:r w:rsidR="002B2B46" w:rsidRPr="00076328">
        <w:rPr>
          <w:rFonts w:ascii="宋体" w:eastAsia="宋体" w:hAnsi="宋体" w:cs="Times New Roman"/>
          <w:sz w:val="24"/>
          <w:szCs w:val="24"/>
        </w:rPr>
        <w:t>前</w:t>
      </w:r>
      <w:r w:rsidRPr="00076328">
        <w:rPr>
          <w:rFonts w:ascii="宋体" w:eastAsia="宋体" w:hAnsi="宋体" w:cs="Times New Roman"/>
          <w:sz w:val="24"/>
          <w:szCs w:val="24"/>
        </w:rPr>
        <w:t>沿</w:t>
      </w:r>
      <w:r w:rsidR="0000584A" w:rsidRPr="00076328">
        <w:rPr>
          <w:rFonts w:ascii="宋体" w:eastAsia="宋体" w:hAnsi="宋体" w:cs="Times New Roman" w:hint="eastAsia"/>
          <w:sz w:val="24"/>
          <w:szCs w:val="24"/>
        </w:rPr>
        <w:t>，</w:t>
      </w:r>
      <w:r w:rsidRPr="00076328">
        <w:rPr>
          <w:rFonts w:ascii="宋体" w:eastAsia="宋体" w:hAnsi="宋体" w:cs="Times New Roman"/>
          <w:sz w:val="24"/>
          <w:szCs w:val="24"/>
        </w:rPr>
        <w:t>鼓励</w:t>
      </w:r>
      <w:r w:rsidR="006E6389" w:rsidRPr="00076328">
        <w:rPr>
          <w:rFonts w:ascii="宋体" w:eastAsia="宋体" w:hAnsi="宋体" w:cs="Times New Roman" w:hint="eastAsia"/>
          <w:sz w:val="24"/>
          <w:szCs w:val="24"/>
        </w:rPr>
        <w:t>区块链</w:t>
      </w:r>
      <w:r w:rsidRPr="00076328">
        <w:rPr>
          <w:rFonts w:ascii="宋体" w:eastAsia="宋体" w:hAnsi="宋体" w:cs="Times New Roman"/>
          <w:sz w:val="24"/>
          <w:szCs w:val="24"/>
        </w:rPr>
        <w:t>技术、云计算、</w:t>
      </w:r>
      <w:r w:rsidR="0000584A" w:rsidRPr="00076328">
        <w:rPr>
          <w:rFonts w:ascii="宋体" w:eastAsia="宋体" w:hAnsi="宋体" w:cs="Times New Roman" w:hint="eastAsia"/>
          <w:sz w:val="24"/>
          <w:szCs w:val="24"/>
        </w:rPr>
        <w:t>智能合约、</w:t>
      </w:r>
      <w:r w:rsidR="006E6389" w:rsidRPr="00076328">
        <w:rPr>
          <w:rFonts w:ascii="宋体" w:eastAsia="宋体" w:hAnsi="宋体" w:cs="Times New Roman" w:hint="eastAsia"/>
          <w:sz w:val="24"/>
          <w:szCs w:val="24"/>
        </w:rPr>
        <w:t>元宇宙</w:t>
      </w:r>
      <w:r w:rsidRPr="00076328">
        <w:rPr>
          <w:rFonts w:ascii="宋体" w:eastAsia="宋体" w:hAnsi="宋体" w:cs="Times New Roman"/>
          <w:sz w:val="24"/>
          <w:szCs w:val="24"/>
        </w:rPr>
        <w:t>等数字</w:t>
      </w:r>
      <w:r w:rsidRPr="00076328">
        <w:rPr>
          <w:rFonts w:ascii="宋体" w:eastAsia="宋体" w:hAnsi="宋体" w:cs="Times New Roman" w:hint="eastAsia"/>
          <w:sz w:val="24"/>
          <w:szCs w:val="24"/>
        </w:rPr>
        <w:t>技术、产品</w:t>
      </w:r>
      <w:r w:rsidR="002B2B46" w:rsidRPr="00076328">
        <w:rPr>
          <w:rFonts w:ascii="宋体" w:eastAsia="宋体" w:hAnsi="宋体" w:cs="Times New Roman"/>
          <w:sz w:val="24"/>
          <w:szCs w:val="24"/>
        </w:rPr>
        <w:t>和业</w:t>
      </w:r>
      <w:proofErr w:type="gramStart"/>
      <w:r w:rsidR="002B2B46" w:rsidRPr="00076328">
        <w:rPr>
          <w:rFonts w:ascii="宋体" w:eastAsia="宋体" w:hAnsi="宋体" w:cs="Times New Roman"/>
          <w:sz w:val="24"/>
          <w:szCs w:val="24"/>
        </w:rPr>
        <w:t>态</w:t>
      </w:r>
      <w:r w:rsidR="00D62215" w:rsidRPr="00076328">
        <w:rPr>
          <w:rFonts w:ascii="宋体" w:eastAsia="宋体" w:hAnsi="宋体" w:cs="Times New Roman" w:hint="eastAsia"/>
          <w:sz w:val="24"/>
          <w:szCs w:val="24"/>
        </w:rPr>
        <w:t>创新</w:t>
      </w:r>
      <w:proofErr w:type="gramEnd"/>
      <w:r w:rsidR="002B2B46" w:rsidRPr="00076328">
        <w:rPr>
          <w:rFonts w:ascii="宋体" w:eastAsia="宋体" w:hAnsi="宋体" w:cs="Times New Roman"/>
          <w:sz w:val="24"/>
          <w:szCs w:val="24"/>
        </w:rPr>
        <w:t>发展</w:t>
      </w:r>
      <w:r w:rsidR="002D2D6F" w:rsidRPr="00076328">
        <w:rPr>
          <w:rFonts w:ascii="宋体" w:eastAsia="宋体" w:hAnsi="宋体" w:cs="Times New Roman" w:hint="eastAsia"/>
          <w:sz w:val="24"/>
          <w:szCs w:val="24"/>
        </w:rPr>
        <w:t>及其与金融体系的结合</w:t>
      </w:r>
      <w:r w:rsidR="0000584A" w:rsidRPr="00076328">
        <w:rPr>
          <w:rFonts w:ascii="宋体" w:eastAsia="宋体" w:hAnsi="宋体" w:cs="Times New Roman" w:hint="eastAsia"/>
          <w:sz w:val="24"/>
          <w:szCs w:val="24"/>
        </w:rPr>
        <w:t>。</w:t>
      </w:r>
    </w:p>
    <w:p w14:paraId="7C35A06A" w14:textId="436FF5F9" w:rsidR="0030253B" w:rsidRPr="002959D2" w:rsidRDefault="00D64A49" w:rsidP="00AF0AF5">
      <w:pPr>
        <w:adjustRightInd w:val="0"/>
        <w:snapToGrid w:val="0"/>
        <w:spacing w:before="100" w:beforeAutospacing="1" w:after="100" w:afterAutospacing="1" w:line="360" w:lineRule="auto"/>
        <w:ind w:firstLineChars="200" w:firstLine="480"/>
        <w:contextualSpacing/>
        <w:rPr>
          <w:rFonts w:ascii="Times New Roman" w:eastAsia="宋体" w:hAnsi="Times New Roman" w:cs="Times New Roman"/>
          <w:sz w:val="24"/>
          <w:szCs w:val="24"/>
        </w:rPr>
      </w:pPr>
      <w:r w:rsidRPr="00076328">
        <w:rPr>
          <w:rFonts w:ascii="宋体" w:eastAsia="宋体" w:hAnsi="宋体" w:cs="Times New Roman" w:hint="eastAsia"/>
          <w:sz w:val="24"/>
          <w:szCs w:val="24"/>
        </w:rPr>
        <w:t>点亮香港上海“双子星”，锻造数字金融竞争力。一方面，</w:t>
      </w:r>
      <w:r w:rsidR="00D62215" w:rsidRPr="00076328">
        <w:rPr>
          <w:rFonts w:ascii="宋体" w:eastAsia="宋体" w:hAnsi="宋体" w:cs="Times New Roman" w:hint="eastAsia"/>
          <w:sz w:val="24"/>
          <w:szCs w:val="24"/>
        </w:rPr>
        <w:t>重点</w:t>
      </w:r>
      <w:r w:rsidR="002B2B46" w:rsidRPr="00076328">
        <w:rPr>
          <w:rFonts w:ascii="宋体" w:eastAsia="宋体" w:hAnsi="宋体" w:cs="Times New Roman"/>
          <w:sz w:val="24"/>
          <w:szCs w:val="24"/>
        </w:rPr>
        <w:t>支持香港</w:t>
      </w:r>
      <w:r w:rsidR="0000584A" w:rsidRPr="00076328">
        <w:rPr>
          <w:rFonts w:ascii="宋体" w:eastAsia="宋体" w:hAnsi="宋体" w:cs="Times New Roman" w:hint="eastAsia"/>
          <w:sz w:val="24"/>
          <w:szCs w:val="24"/>
        </w:rPr>
        <w:t>实施</w:t>
      </w:r>
      <w:r w:rsidR="006E6389" w:rsidRPr="00076328">
        <w:rPr>
          <w:rFonts w:ascii="宋体" w:eastAsia="宋体" w:hAnsi="宋体" w:cs="Times New Roman" w:hint="eastAsia"/>
          <w:sz w:val="24"/>
          <w:szCs w:val="24"/>
        </w:rPr>
        <w:t>数字</w:t>
      </w:r>
      <w:r w:rsidR="002B2B46" w:rsidRPr="00076328">
        <w:rPr>
          <w:rFonts w:ascii="宋体" w:eastAsia="宋体" w:hAnsi="宋体" w:cs="Times New Roman"/>
          <w:sz w:val="24"/>
          <w:szCs w:val="24"/>
        </w:rPr>
        <w:t>资产发展</w:t>
      </w:r>
      <w:r w:rsidR="00D62215" w:rsidRPr="00076328">
        <w:rPr>
          <w:rFonts w:ascii="宋体" w:eastAsia="宋体" w:hAnsi="宋体" w:cs="Times New Roman" w:hint="eastAsia"/>
          <w:sz w:val="24"/>
          <w:szCs w:val="24"/>
        </w:rPr>
        <w:t>体系建设</w:t>
      </w:r>
      <w:r w:rsidR="002B2B46" w:rsidRPr="00076328">
        <w:rPr>
          <w:rFonts w:ascii="宋体" w:eastAsia="宋体" w:hAnsi="宋体" w:cs="Times New Roman"/>
          <w:sz w:val="24"/>
          <w:szCs w:val="24"/>
        </w:rPr>
        <w:t>，</w:t>
      </w:r>
      <w:r w:rsidR="0000584A" w:rsidRPr="00076328">
        <w:rPr>
          <w:rFonts w:ascii="宋体" w:eastAsia="宋体" w:hAnsi="宋体" w:cs="Times New Roman" w:hint="eastAsia"/>
          <w:sz w:val="24"/>
          <w:szCs w:val="24"/>
        </w:rPr>
        <w:t>打造具有国际领先</w:t>
      </w:r>
      <w:r w:rsidR="00F81DFE">
        <w:rPr>
          <w:rFonts w:ascii="宋体" w:eastAsia="宋体" w:hAnsi="宋体" w:cs="Times New Roman" w:hint="eastAsia"/>
          <w:sz w:val="24"/>
          <w:szCs w:val="24"/>
        </w:rPr>
        <w:t>水平</w:t>
      </w:r>
      <w:r w:rsidR="0000584A" w:rsidRPr="00076328">
        <w:rPr>
          <w:rFonts w:ascii="宋体" w:eastAsia="宋体" w:hAnsi="宋体" w:cs="Times New Roman" w:hint="eastAsia"/>
          <w:sz w:val="24"/>
          <w:szCs w:val="24"/>
        </w:rPr>
        <w:t>的数字资产市场，</w:t>
      </w:r>
      <w:r w:rsidR="00D62215" w:rsidRPr="00076328">
        <w:rPr>
          <w:rFonts w:ascii="宋体" w:eastAsia="宋体" w:hAnsi="宋体" w:cs="Times New Roman"/>
          <w:sz w:val="24"/>
          <w:szCs w:val="24"/>
        </w:rPr>
        <w:t>不断提升数字金融</w:t>
      </w:r>
      <w:r w:rsidR="00D62215" w:rsidRPr="00076328">
        <w:rPr>
          <w:rFonts w:ascii="宋体" w:eastAsia="宋体" w:hAnsi="宋体" w:cs="Times New Roman" w:hint="eastAsia"/>
          <w:sz w:val="24"/>
          <w:szCs w:val="24"/>
        </w:rPr>
        <w:t>国际</w:t>
      </w:r>
      <w:r w:rsidR="002B2B46" w:rsidRPr="00076328">
        <w:rPr>
          <w:rFonts w:ascii="宋体" w:eastAsia="宋体" w:hAnsi="宋体" w:cs="Times New Roman"/>
          <w:sz w:val="24"/>
          <w:szCs w:val="24"/>
        </w:rPr>
        <w:t>竞争力</w:t>
      </w:r>
      <w:r w:rsidRPr="00076328">
        <w:rPr>
          <w:rFonts w:ascii="宋体" w:eastAsia="宋体" w:hAnsi="宋体" w:cs="Times New Roman" w:hint="eastAsia"/>
          <w:sz w:val="24"/>
          <w:szCs w:val="24"/>
        </w:rPr>
        <w:t>。一是支持鼓励香港扩大加密资产创新空间。二是支持鼓励香港</w:t>
      </w:r>
      <w:proofErr w:type="gramStart"/>
      <w:r w:rsidRPr="00076328">
        <w:rPr>
          <w:rFonts w:ascii="宋体" w:eastAsia="宋体" w:hAnsi="宋体" w:cs="Times New Roman" w:hint="eastAsia"/>
          <w:sz w:val="24"/>
          <w:szCs w:val="24"/>
        </w:rPr>
        <w:t>搭建新型</w:t>
      </w:r>
      <w:proofErr w:type="gramEnd"/>
      <w:r w:rsidRPr="00076328">
        <w:rPr>
          <w:rFonts w:ascii="宋体" w:eastAsia="宋体" w:hAnsi="宋体" w:cs="Times New Roman" w:hint="eastAsia"/>
          <w:sz w:val="24"/>
          <w:szCs w:val="24"/>
        </w:rPr>
        <w:t>数字金融基础设施。三是</w:t>
      </w:r>
      <w:r w:rsidRPr="00076328">
        <w:rPr>
          <w:rFonts w:ascii="宋体" w:eastAsia="宋体" w:hAnsi="宋体" w:cs="Times New Roman"/>
          <w:sz w:val="24"/>
          <w:szCs w:val="24"/>
        </w:rPr>
        <w:t>加快推进数字</w:t>
      </w:r>
      <w:r w:rsidRPr="00076328">
        <w:rPr>
          <w:rFonts w:ascii="宋体" w:eastAsia="宋体" w:hAnsi="宋体" w:cs="Times New Roman" w:hint="eastAsia"/>
          <w:sz w:val="24"/>
          <w:szCs w:val="24"/>
        </w:rPr>
        <w:t>资产应用</w:t>
      </w:r>
      <w:r w:rsidRPr="00076328">
        <w:rPr>
          <w:rFonts w:ascii="宋体" w:eastAsia="宋体" w:hAnsi="宋体" w:cs="Times New Roman"/>
          <w:sz w:val="24"/>
          <w:szCs w:val="24"/>
        </w:rPr>
        <w:t>场景</w:t>
      </w:r>
      <w:r w:rsidRPr="00076328">
        <w:rPr>
          <w:rFonts w:ascii="宋体" w:eastAsia="宋体" w:hAnsi="宋体" w:cs="Times New Roman" w:hint="eastAsia"/>
          <w:sz w:val="24"/>
          <w:szCs w:val="24"/>
        </w:rPr>
        <w:t>和市场</w:t>
      </w:r>
      <w:r w:rsidRPr="00076328">
        <w:rPr>
          <w:rFonts w:ascii="宋体" w:eastAsia="宋体" w:hAnsi="宋体" w:cs="Times New Roman"/>
          <w:sz w:val="24"/>
          <w:szCs w:val="24"/>
        </w:rPr>
        <w:t>建设</w:t>
      </w:r>
      <w:r w:rsidRPr="00076328">
        <w:rPr>
          <w:rFonts w:ascii="宋体" w:eastAsia="宋体" w:hAnsi="宋体" w:cs="Times New Roman" w:hint="eastAsia"/>
          <w:sz w:val="24"/>
          <w:szCs w:val="24"/>
        </w:rPr>
        <w:t>，与深圳等地共同探索搭建数字金融产业大集群</w:t>
      </w:r>
      <w:r w:rsidRPr="00076328">
        <w:rPr>
          <w:rFonts w:ascii="宋体" w:eastAsia="宋体" w:hAnsi="宋体" w:cs="Times New Roman"/>
          <w:sz w:val="24"/>
          <w:szCs w:val="24"/>
        </w:rPr>
        <w:t>。</w:t>
      </w:r>
      <w:r w:rsidRPr="00076328">
        <w:rPr>
          <w:rFonts w:ascii="宋体" w:eastAsia="宋体" w:hAnsi="宋体" w:cs="Times New Roman" w:hint="eastAsia"/>
          <w:sz w:val="24"/>
          <w:szCs w:val="24"/>
        </w:rPr>
        <w:t>四是鼓励香港积极参与国际社会加密资产及其交易的规则、标准和制度制定</w:t>
      </w:r>
      <w:r w:rsidRPr="00076328">
        <w:rPr>
          <w:rFonts w:ascii="宋体" w:eastAsia="宋体" w:hAnsi="宋体" w:cs="Times New Roman"/>
          <w:sz w:val="24"/>
          <w:szCs w:val="24"/>
        </w:rPr>
        <w:t>，提升</w:t>
      </w:r>
      <w:r w:rsidRPr="00076328">
        <w:rPr>
          <w:rFonts w:ascii="宋体" w:eastAsia="宋体" w:hAnsi="宋体" w:cs="Times New Roman" w:hint="eastAsia"/>
          <w:sz w:val="24"/>
          <w:szCs w:val="24"/>
        </w:rPr>
        <w:t>香港</w:t>
      </w:r>
      <w:r w:rsidRPr="00076328">
        <w:rPr>
          <w:rFonts w:ascii="宋体" w:eastAsia="宋体" w:hAnsi="宋体" w:cs="Times New Roman"/>
          <w:sz w:val="24"/>
          <w:szCs w:val="24"/>
        </w:rPr>
        <w:t>国际金融中心</w:t>
      </w:r>
      <w:r w:rsidRPr="00076328">
        <w:rPr>
          <w:rFonts w:ascii="宋体" w:eastAsia="宋体" w:hAnsi="宋体" w:cs="Times New Roman" w:hint="eastAsia"/>
          <w:sz w:val="24"/>
          <w:szCs w:val="24"/>
        </w:rPr>
        <w:t>在数字金融发展</w:t>
      </w:r>
      <w:r w:rsidRPr="00076328">
        <w:rPr>
          <w:rFonts w:ascii="宋体" w:eastAsia="宋体" w:hAnsi="宋体" w:cs="Times New Roman"/>
          <w:sz w:val="24"/>
          <w:szCs w:val="24"/>
        </w:rPr>
        <w:t>首位度。</w:t>
      </w:r>
      <w:r w:rsidRPr="00076328">
        <w:rPr>
          <w:rFonts w:ascii="宋体" w:eastAsia="宋体" w:hAnsi="宋体" w:cs="Times New Roman" w:hint="eastAsia"/>
          <w:sz w:val="24"/>
          <w:szCs w:val="24"/>
        </w:rPr>
        <w:t>另一方面，</w:t>
      </w:r>
      <w:r w:rsidR="00FE33FA" w:rsidRPr="00076328">
        <w:rPr>
          <w:rFonts w:ascii="宋体" w:eastAsia="宋体" w:hAnsi="宋体" w:cs="Times New Roman" w:hint="eastAsia"/>
          <w:sz w:val="24"/>
          <w:szCs w:val="24"/>
        </w:rPr>
        <w:t>重点打造上海数字金融发展新能级。根据国际数字金融发展新趋势，</w:t>
      </w:r>
      <w:r w:rsidR="00FE33FA" w:rsidRPr="00076328">
        <w:rPr>
          <w:rFonts w:ascii="宋体" w:eastAsia="宋体" w:hAnsi="宋体" w:cs="Times New Roman"/>
          <w:sz w:val="24"/>
          <w:szCs w:val="24"/>
        </w:rPr>
        <w:t>以更加宏大的视野、以“国家的上海”和“世界的上海”</w:t>
      </w:r>
      <w:r w:rsidR="004D5421">
        <w:rPr>
          <w:rFonts w:ascii="宋体" w:eastAsia="宋体" w:hAnsi="宋体" w:cs="Times New Roman" w:hint="eastAsia"/>
          <w:sz w:val="24"/>
          <w:szCs w:val="24"/>
        </w:rPr>
        <w:t>定位</w:t>
      </w:r>
      <w:r w:rsidR="00FE33FA" w:rsidRPr="00076328">
        <w:rPr>
          <w:rFonts w:ascii="宋体" w:eastAsia="宋体" w:hAnsi="宋体" w:cs="Times New Roman"/>
          <w:sz w:val="24"/>
          <w:szCs w:val="24"/>
        </w:rPr>
        <w:t>提升数字金融中心建设能级</w:t>
      </w:r>
      <w:r w:rsidR="00FE33FA" w:rsidRPr="00076328">
        <w:rPr>
          <w:rFonts w:ascii="宋体" w:eastAsia="宋体" w:hAnsi="宋体" w:cs="Times New Roman" w:hint="eastAsia"/>
          <w:sz w:val="24"/>
          <w:szCs w:val="24"/>
        </w:rPr>
        <w:t>。</w:t>
      </w:r>
      <w:r w:rsidR="006E6389" w:rsidRPr="00076328">
        <w:rPr>
          <w:rFonts w:ascii="宋体" w:eastAsia="宋体" w:hAnsi="宋体" w:cs="Times New Roman" w:hint="eastAsia"/>
          <w:sz w:val="24"/>
          <w:szCs w:val="24"/>
        </w:rPr>
        <w:t>鼓励</w:t>
      </w:r>
      <w:r w:rsidRPr="00076328">
        <w:rPr>
          <w:rFonts w:ascii="宋体" w:eastAsia="宋体" w:hAnsi="宋体" w:cs="Times New Roman" w:hint="eastAsia"/>
          <w:sz w:val="24"/>
          <w:szCs w:val="24"/>
        </w:rPr>
        <w:t>上海特别是</w:t>
      </w:r>
      <w:r w:rsidR="006E6389" w:rsidRPr="00076328">
        <w:rPr>
          <w:rFonts w:ascii="宋体" w:eastAsia="宋体" w:hAnsi="宋体" w:cs="Times New Roman" w:hint="eastAsia"/>
          <w:sz w:val="24"/>
          <w:szCs w:val="24"/>
        </w:rPr>
        <w:t>上海自贸区开展数字</w:t>
      </w:r>
      <w:r w:rsidR="0000584A" w:rsidRPr="00076328">
        <w:rPr>
          <w:rFonts w:ascii="宋体" w:eastAsia="宋体" w:hAnsi="宋体" w:cs="Times New Roman" w:hint="eastAsia"/>
          <w:sz w:val="24"/>
          <w:szCs w:val="24"/>
        </w:rPr>
        <w:t>技术和数字</w:t>
      </w:r>
      <w:r w:rsidR="006E6389" w:rsidRPr="00076328">
        <w:rPr>
          <w:rFonts w:ascii="宋体" w:eastAsia="宋体" w:hAnsi="宋体" w:cs="Times New Roman" w:hint="eastAsia"/>
          <w:sz w:val="24"/>
          <w:szCs w:val="24"/>
        </w:rPr>
        <w:t>金融创新</w:t>
      </w:r>
      <w:r w:rsidR="0000584A" w:rsidRPr="00076328">
        <w:rPr>
          <w:rFonts w:ascii="宋体" w:eastAsia="宋体" w:hAnsi="宋体" w:cs="Times New Roman" w:hint="eastAsia"/>
          <w:sz w:val="24"/>
          <w:szCs w:val="24"/>
        </w:rPr>
        <w:t>试验与实践</w:t>
      </w:r>
      <w:r w:rsidR="006E6389" w:rsidRPr="00076328">
        <w:rPr>
          <w:rFonts w:ascii="宋体" w:eastAsia="宋体" w:hAnsi="宋体" w:cs="Times New Roman" w:hint="eastAsia"/>
          <w:sz w:val="24"/>
          <w:szCs w:val="24"/>
        </w:rPr>
        <w:t>，</w:t>
      </w:r>
      <w:r w:rsidR="00FE33FA" w:rsidRPr="00076328">
        <w:rPr>
          <w:rFonts w:ascii="宋体" w:eastAsia="宋体" w:hAnsi="宋体" w:cs="Times New Roman" w:hint="eastAsia"/>
          <w:sz w:val="24"/>
          <w:szCs w:val="24"/>
        </w:rPr>
        <w:t>要在</w:t>
      </w:r>
      <w:r w:rsidR="00FE33FA" w:rsidRPr="002959D2">
        <w:rPr>
          <w:rFonts w:ascii="Times New Roman" w:eastAsia="宋体" w:hAnsi="Times New Roman" w:cs="Times New Roman" w:hint="eastAsia"/>
          <w:sz w:val="24"/>
          <w:szCs w:val="24"/>
        </w:rPr>
        <w:t>新技术、新模式和新赛道上</w:t>
      </w:r>
      <w:r w:rsidR="006E6389" w:rsidRPr="002959D2">
        <w:rPr>
          <w:rFonts w:ascii="Times New Roman" w:eastAsia="宋体" w:hAnsi="Times New Roman" w:cs="Times New Roman" w:hint="eastAsia"/>
          <w:sz w:val="24"/>
          <w:szCs w:val="24"/>
        </w:rPr>
        <w:t>大胆试、勇敢闯</w:t>
      </w:r>
      <w:r w:rsidR="003A5C53" w:rsidRPr="002959D2">
        <w:rPr>
          <w:rFonts w:ascii="Times New Roman" w:eastAsia="宋体" w:hAnsi="Times New Roman" w:cs="Times New Roman" w:hint="eastAsia"/>
          <w:sz w:val="24"/>
          <w:szCs w:val="24"/>
        </w:rPr>
        <w:t>，</w:t>
      </w:r>
      <w:r w:rsidR="00CE5CC8" w:rsidRPr="002959D2">
        <w:rPr>
          <w:rFonts w:ascii="Times New Roman" w:eastAsia="宋体" w:hAnsi="Times New Roman" w:cs="Times New Roman" w:hint="eastAsia"/>
          <w:sz w:val="24"/>
          <w:szCs w:val="24"/>
        </w:rPr>
        <w:t>积蓄</w:t>
      </w:r>
      <w:r w:rsidR="003A5C53" w:rsidRPr="002959D2">
        <w:rPr>
          <w:rFonts w:ascii="Times New Roman" w:eastAsia="宋体" w:hAnsi="Times New Roman" w:cs="Times New Roman" w:hint="eastAsia"/>
          <w:sz w:val="24"/>
          <w:szCs w:val="24"/>
        </w:rPr>
        <w:t>国际金融中心发展新动力</w:t>
      </w:r>
      <w:r w:rsidR="003531A2" w:rsidRPr="002959D2">
        <w:rPr>
          <w:rFonts w:ascii="Times New Roman" w:eastAsia="宋体" w:hAnsi="Times New Roman" w:cs="Times New Roman" w:hint="eastAsia"/>
          <w:sz w:val="24"/>
          <w:szCs w:val="24"/>
        </w:rPr>
        <w:t>。</w:t>
      </w:r>
    </w:p>
    <w:p w14:paraId="25A26959" w14:textId="1DAC3280" w:rsidR="00532AC9" w:rsidRPr="00792CEC" w:rsidRDefault="00582615" w:rsidP="00AF0AF5">
      <w:pPr>
        <w:adjustRightInd w:val="0"/>
        <w:snapToGrid w:val="0"/>
        <w:spacing w:before="100" w:beforeAutospacing="1" w:after="100" w:afterAutospacing="1" w:line="360" w:lineRule="auto"/>
        <w:ind w:firstLineChars="200" w:firstLine="562"/>
        <w:contextualSpacing/>
        <w:rPr>
          <w:rFonts w:ascii="宋体" w:eastAsia="宋体" w:hAnsi="宋体"/>
          <w:b/>
          <w:bCs/>
          <w:sz w:val="28"/>
          <w:szCs w:val="28"/>
        </w:rPr>
      </w:pPr>
      <w:r w:rsidRPr="00792CEC">
        <w:rPr>
          <w:rFonts w:ascii="宋体" w:eastAsia="宋体" w:hAnsi="宋体" w:hint="eastAsia"/>
          <w:b/>
          <w:bCs/>
          <w:sz w:val="28"/>
          <w:szCs w:val="28"/>
        </w:rPr>
        <w:t>五</w:t>
      </w:r>
      <w:r w:rsidR="00F40FD3" w:rsidRPr="00792CEC">
        <w:rPr>
          <w:rFonts w:ascii="宋体" w:eastAsia="宋体" w:hAnsi="宋体"/>
          <w:b/>
          <w:bCs/>
          <w:sz w:val="28"/>
          <w:szCs w:val="28"/>
        </w:rPr>
        <w:t>、结语</w:t>
      </w:r>
    </w:p>
    <w:p w14:paraId="38F99743" w14:textId="73DEA81B" w:rsidR="00FE7A71" w:rsidRPr="00516269" w:rsidRDefault="00AE2788" w:rsidP="00AF0AF5">
      <w:pPr>
        <w:adjustRightInd w:val="0"/>
        <w:snapToGrid w:val="0"/>
        <w:spacing w:before="100" w:beforeAutospacing="1" w:after="100" w:afterAutospacing="1" w:line="360" w:lineRule="auto"/>
        <w:ind w:firstLineChars="200" w:firstLine="480"/>
        <w:contextualSpacing/>
        <w:rPr>
          <w:rFonts w:ascii="宋体" w:eastAsia="宋体" w:hAnsi="宋体"/>
          <w:sz w:val="24"/>
          <w:szCs w:val="24"/>
        </w:rPr>
      </w:pPr>
      <w:r w:rsidRPr="00516269">
        <w:rPr>
          <w:rFonts w:ascii="宋体" w:eastAsia="宋体" w:hAnsi="宋体" w:hint="eastAsia"/>
          <w:sz w:val="24"/>
          <w:szCs w:val="24"/>
        </w:rPr>
        <w:t>大国博弈下的中国金融发展</w:t>
      </w:r>
      <w:r w:rsidR="00F531CE" w:rsidRPr="00516269">
        <w:rPr>
          <w:rFonts w:ascii="宋体" w:eastAsia="宋体" w:hAnsi="宋体" w:hint="eastAsia"/>
          <w:sz w:val="24"/>
          <w:szCs w:val="24"/>
        </w:rPr>
        <w:t>要</w:t>
      </w:r>
      <w:r w:rsidRPr="00516269">
        <w:rPr>
          <w:rFonts w:ascii="宋体" w:eastAsia="宋体" w:hAnsi="宋体" w:hint="eastAsia"/>
          <w:sz w:val="24"/>
          <w:szCs w:val="24"/>
        </w:rPr>
        <w:t>遵循一条主线、两个重点。这条主线就是中国金融</w:t>
      </w:r>
      <w:r w:rsidR="00A523D7" w:rsidRPr="00516269">
        <w:rPr>
          <w:rFonts w:ascii="宋体" w:eastAsia="宋体" w:hAnsi="宋体" w:hint="eastAsia"/>
          <w:sz w:val="24"/>
          <w:szCs w:val="24"/>
        </w:rPr>
        <w:t>高质量</w:t>
      </w:r>
      <w:r w:rsidRPr="00516269">
        <w:rPr>
          <w:rFonts w:ascii="宋体" w:eastAsia="宋体" w:hAnsi="宋体" w:hint="eastAsia"/>
          <w:sz w:val="24"/>
          <w:szCs w:val="24"/>
        </w:rPr>
        <w:t>发展，两个重点就是内部服务中国式现代化和对外适应大国博弈需要。</w:t>
      </w:r>
      <w:r w:rsidR="00E46090">
        <w:rPr>
          <w:rFonts w:ascii="宋体" w:eastAsia="宋体" w:hAnsi="宋体" w:hint="eastAsia"/>
          <w:sz w:val="24"/>
          <w:szCs w:val="24"/>
        </w:rPr>
        <w:t>当前中国</w:t>
      </w:r>
      <w:r w:rsidRPr="00516269">
        <w:rPr>
          <w:rFonts w:ascii="宋体" w:eastAsia="宋体" w:hAnsi="宋体"/>
          <w:sz w:val="24"/>
          <w:szCs w:val="24"/>
        </w:rPr>
        <w:t>身处一个不均衡、不稳定和不对称的国际货币体系中，</w:t>
      </w:r>
      <w:r w:rsidRPr="00516269">
        <w:rPr>
          <w:rFonts w:ascii="宋体" w:eastAsia="宋体" w:hAnsi="宋体" w:hint="eastAsia"/>
          <w:sz w:val="24"/>
          <w:szCs w:val="24"/>
        </w:rPr>
        <w:t>加上特朗普政府</w:t>
      </w:r>
      <w:r w:rsidRPr="00516269">
        <w:rPr>
          <w:rFonts w:ascii="宋体" w:eastAsia="宋体" w:hAnsi="宋体"/>
          <w:sz w:val="24"/>
          <w:szCs w:val="24"/>
        </w:rPr>
        <w:t>的</w:t>
      </w:r>
      <w:r w:rsidRPr="00516269">
        <w:rPr>
          <w:rFonts w:ascii="宋体" w:eastAsia="宋体" w:hAnsi="宋体" w:hint="eastAsia"/>
          <w:sz w:val="24"/>
          <w:szCs w:val="24"/>
        </w:rPr>
        <w:t>内外</w:t>
      </w:r>
      <w:r w:rsidRPr="00516269">
        <w:rPr>
          <w:rFonts w:ascii="宋体" w:eastAsia="宋体" w:hAnsi="宋体"/>
          <w:sz w:val="24"/>
          <w:szCs w:val="24"/>
        </w:rPr>
        <w:t>政策可能产生</w:t>
      </w:r>
      <w:r w:rsidRPr="00516269">
        <w:rPr>
          <w:rFonts w:ascii="宋体" w:eastAsia="宋体" w:hAnsi="宋体" w:hint="eastAsia"/>
          <w:sz w:val="24"/>
          <w:szCs w:val="24"/>
        </w:rPr>
        <w:t>新的不确定性</w:t>
      </w:r>
      <w:r w:rsidRPr="00516269">
        <w:rPr>
          <w:rFonts w:ascii="宋体" w:eastAsia="宋体" w:hAnsi="宋体"/>
          <w:sz w:val="24"/>
          <w:szCs w:val="24"/>
        </w:rPr>
        <w:t>，给包括中国在内的国际金融体系带来</w:t>
      </w:r>
      <w:r w:rsidR="004D5421">
        <w:rPr>
          <w:rFonts w:ascii="宋体" w:eastAsia="宋体" w:hAnsi="宋体" w:hint="eastAsia"/>
          <w:sz w:val="24"/>
          <w:szCs w:val="24"/>
        </w:rPr>
        <w:t>一系列的冲击和</w:t>
      </w:r>
      <w:r w:rsidRPr="00516269">
        <w:rPr>
          <w:rFonts w:ascii="宋体" w:eastAsia="宋体" w:hAnsi="宋体"/>
          <w:sz w:val="24"/>
          <w:szCs w:val="24"/>
        </w:rPr>
        <w:t>挑战。但是，这种冲击和挑战恰恰给予了中国一次查缺补漏和压力测试的历史契机</w:t>
      </w:r>
      <w:r w:rsidRPr="00516269">
        <w:rPr>
          <w:rFonts w:ascii="宋体" w:eastAsia="宋体" w:hAnsi="宋体" w:hint="eastAsia"/>
          <w:sz w:val="24"/>
          <w:szCs w:val="24"/>
        </w:rPr>
        <w:t>。“十五五”时期，我国要</w:t>
      </w:r>
      <w:r w:rsidR="00A523D7" w:rsidRPr="00516269">
        <w:rPr>
          <w:rFonts w:ascii="宋体" w:eastAsia="宋体" w:hAnsi="宋体" w:hint="eastAsia"/>
          <w:sz w:val="24"/>
          <w:szCs w:val="24"/>
        </w:rPr>
        <w:t>坚持</w:t>
      </w:r>
      <w:r w:rsidRPr="00516269">
        <w:rPr>
          <w:rFonts w:ascii="宋体" w:eastAsia="宋体" w:hAnsi="宋体" w:hint="eastAsia"/>
          <w:sz w:val="24"/>
          <w:szCs w:val="24"/>
        </w:rPr>
        <w:t>目标导向和问题导向，以我为主，做好“家庭作业”，全面深化金融体制机制改革，</w:t>
      </w:r>
      <w:r w:rsidRPr="00516269">
        <w:rPr>
          <w:rFonts w:ascii="宋体" w:eastAsia="宋体" w:hAnsi="宋体"/>
          <w:sz w:val="24"/>
          <w:szCs w:val="24"/>
        </w:rPr>
        <w:t>在货币主导权、国际竞争力、内部稳定性等方面下苦功夫，</w:t>
      </w:r>
      <w:r w:rsidRPr="00516269">
        <w:rPr>
          <w:rFonts w:ascii="宋体" w:eastAsia="宋体" w:hAnsi="宋体" w:hint="eastAsia"/>
          <w:sz w:val="24"/>
          <w:szCs w:val="24"/>
        </w:rPr>
        <w:t>在全面推进“六个强大”</w:t>
      </w:r>
      <w:r w:rsidR="004D5421">
        <w:rPr>
          <w:rFonts w:ascii="宋体" w:eastAsia="宋体" w:hAnsi="宋体" w:hint="eastAsia"/>
          <w:sz w:val="24"/>
          <w:szCs w:val="24"/>
        </w:rPr>
        <w:t>发展</w:t>
      </w:r>
      <w:r w:rsidRPr="00516269">
        <w:rPr>
          <w:rFonts w:ascii="宋体" w:eastAsia="宋体" w:hAnsi="宋体" w:hint="eastAsia"/>
          <w:sz w:val="24"/>
          <w:szCs w:val="24"/>
        </w:rPr>
        <w:t>的过程中，还要着重强化金融基础设施建设、资本市场壮大、全球资产布局</w:t>
      </w:r>
      <w:r w:rsidR="00A523D7" w:rsidRPr="00516269">
        <w:rPr>
          <w:rFonts w:ascii="宋体" w:eastAsia="宋体" w:hAnsi="宋体" w:hint="eastAsia"/>
          <w:sz w:val="24"/>
          <w:szCs w:val="24"/>
        </w:rPr>
        <w:t>以及</w:t>
      </w:r>
      <w:r w:rsidR="004B0716" w:rsidRPr="00516269">
        <w:rPr>
          <w:rFonts w:ascii="宋体" w:eastAsia="宋体" w:hAnsi="宋体" w:hint="eastAsia"/>
          <w:sz w:val="24"/>
          <w:szCs w:val="24"/>
        </w:rPr>
        <w:t>数字金融战略</w:t>
      </w:r>
      <w:r w:rsidRPr="00516269">
        <w:rPr>
          <w:rFonts w:ascii="宋体" w:eastAsia="宋体" w:hAnsi="宋体" w:hint="eastAsia"/>
          <w:sz w:val="24"/>
          <w:szCs w:val="24"/>
        </w:rPr>
        <w:t>发展</w:t>
      </w:r>
      <w:r w:rsidRPr="00516269">
        <w:rPr>
          <w:rFonts w:ascii="宋体" w:eastAsia="宋体" w:hAnsi="宋体"/>
          <w:sz w:val="24"/>
          <w:szCs w:val="24"/>
        </w:rPr>
        <w:t>。</w:t>
      </w:r>
    </w:p>
    <w:p w14:paraId="07770168" w14:textId="4236E42E" w:rsidR="00532AC9" w:rsidRPr="00516269" w:rsidRDefault="005944ED" w:rsidP="00AF0AF5">
      <w:pPr>
        <w:adjustRightInd w:val="0"/>
        <w:snapToGrid w:val="0"/>
        <w:spacing w:before="100" w:beforeAutospacing="1" w:after="100" w:afterAutospacing="1" w:line="360" w:lineRule="auto"/>
        <w:ind w:firstLineChars="200" w:firstLine="480"/>
        <w:contextualSpacing/>
        <w:rPr>
          <w:rFonts w:ascii="宋体" w:eastAsia="宋体" w:hAnsi="宋体"/>
          <w:sz w:val="24"/>
          <w:szCs w:val="24"/>
        </w:rPr>
      </w:pPr>
      <w:r w:rsidRPr="00516269">
        <w:rPr>
          <w:rFonts w:ascii="宋体" w:eastAsia="宋体" w:hAnsi="宋体" w:hint="eastAsia"/>
          <w:sz w:val="24"/>
          <w:szCs w:val="24"/>
        </w:rPr>
        <w:t>将金融基础设施、强大资本市场、全球资产布局和数字金融新赛道作为“十五五”时期金融强国建设的重点领域，不仅事关中国金融内部高质量发展，而且事关金融发展与金融安全的有效统筹。</w:t>
      </w:r>
      <w:r w:rsidR="00A523D7" w:rsidRPr="00516269">
        <w:rPr>
          <w:rFonts w:ascii="宋体" w:eastAsia="宋体" w:hAnsi="宋体" w:hint="eastAsia"/>
          <w:sz w:val="24"/>
          <w:szCs w:val="24"/>
        </w:rPr>
        <w:t>金融安全是金融强国的</w:t>
      </w:r>
      <w:r w:rsidR="008254B9" w:rsidRPr="00516269">
        <w:rPr>
          <w:rFonts w:ascii="宋体" w:eastAsia="宋体" w:hAnsi="宋体" w:hint="eastAsia"/>
          <w:sz w:val="24"/>
          <w:szCs w:val="24"/>
        </w:rPr>
        <w:t>底线和根本</w:t>
      </w:r>
      <w:r w:rsidR="00A523D7" w:rsidRPr="00516269">
        <w:rPr>
          <w:rFonts w:ascii="宋体" w:eastAsia="宋体" w:hAnsi="宋体" w:hint="eastAsia"/>
          <w:sz w:val="24"/>
          <w:szCs w:val="24"/>
        </w:rPr>
        <w:t>保障，也是大国金融博弈的</w:t>
      </w:r>
      <w:r w:rsidR="008254B9" w:rsidRPr="00516269">
        <w:rPr>
          <w:rFonts w:ascii="宋体" w:eastAsia="宋体" w:hAnsi="宋体" w:hint="eastAsia"/>
          <w:sz w:val="24"/>
          <w:szCs w:val="24"/>
        </w:rPr>
        <w:t>基石，以上</w:t>
      </w:r>
      <w:r w:rsidRPr="00516269">
        <w:rPr>
          <w:rFonts w:ascii="宋体" w:eastAsia="宋体" w:hAnsi="宋体" w:hint="eastAsia"/>
          <w:sz w:val="24"/>
          <w:szCs w:val="24"/>
        </w:rPr>
        <w:t>四个领域无一不</w:t>
      </w:r>
      <w:r w:rsidR="00CE5CC8" w:rsidRPr="00516269">
        <w:rPr>
          <w:rFonts w:ascii="宋体" w:eastAsia="宋体" w:hAnsi="宋体" w:hint="eastAsia"/>
          <w:sz w:val="24"/>
          <w:szCs w:val="24"/>
        </w:rPr>
        <w:t>涉及</w:t>
      </w:r>
      <w:r w:rsidRPr="00516269">
        <w:rPr>
          <w:rFonts w:ascii="宋体" w:eastAsia="宋体" w:hAnsi="宋体" w:hint="eastAsia"/>
          <w:sz w:val="24"/>
          <w:szCs w:val="24"/>
        </w:rPr>
        <w:t>中国</w:t>
      </w:r>
      <w:r w:rsidR="00307C24" w:rsidRPr="00516269">
        <w:rPr>
          <w:rFonts w:ascii="宋体" w:eastAsia="宋体" w:hAnsi="宋体" w:hint="eastAsia"/>
          <w:sz w:val="24"/>
          <w:szCs w:val="24"/>
        </w:rPr>
        <w:t>的</w:t>
      </w:r>
      <w:r w:rsidRPr="00516269">
        <w:rPr>
          <w:rFonts w:ascii="宋体" w:eastAsia="宋体" w:hAnsi="宋体" w:hint="eastAsia"/>
          <w:sz w:val="24"/>
          <w:szCs w:val="24"/>
        </w:rPr>
        <w:t>金融安全</w:t>
      </w:r>
      <w:r w:rsidR="00AE2788" w:rsidRPr="00516269">
        <w:rPr>
          <w:rFonts w:ascii="宋体" w:eastAsia="宋体" w:hAnsi="宋体" w:hint="eastAsia"/>
          <w:sz w:val="24"/>
          <w:szCs w:val="24"/>
        </w:rPr>
        <w:t>与系统</w:t>
      </w:r>
      <w:r w:rsidRPr="00516269">
        <w:rPr>
          <w:rFonts w:ascii="宋体" w:eastAsia="宋体" w:hAnsi="宋体" w:hint="eastAsia"/>
          <w:sz w:val="24"/>
          <w:szCs w:val="24"/>
        </w:rPr>
        <w:t>稳定。</w:t>
      </w:r>
      <w:r w:rsidR="00AE2788" w:rsidRPr="00516269">
        <w:rPr>
          <w:rFonts w:ascii="宋体" w:eastAsia="宋体" w:hAnsi="宋体" w:hint="eastAsia"/>
          <w:sz w:val="24"/>
          <w:szCs w:val="24"/>
        </w:rPr>
        <w:t>大国博弈意味着</w:t>
      </w:r>
      <w:r w:rsidR="00FE7A71" w:rsidRPr="00516269">
        <w:rPr>
          <w:rFonts w:ascii="宋体" w:eastAsia="宋体" w:hAnsi="宋体" w:hint="eastAsia"/>
          <w:sz w:val="24"/>
          <w:szCs w:val="24"/>
        </w:rPr>
        <w:t>开放条件下、主权意义上的金融稳定和</w:t>
      </w:r>
      <w:r w:rsidR="00307C24" w:rsidRPr="00516269">
        <w:rPr>
          <w:rFonts w:ascii="宋体" w:eastAsia="宋体" w:hAnsi="宋体" w:hint="eastAsia"/>
          <w:sz w:val="24"/>
          <w:szCs w:val="24"/>
        </w:rPr>
        <w:t>金融</w:t>
      </w:r>
      <w:r w:rsidR="00FE7A71" w:rsidRPr="00516269">
        <w:rPr>
          <w:rFonts w:ascii="宋体" w:eastAsia="宋体" w:hAnsi="宋体" w:hint="eastAsia"/>
          <w:sz w:val="24"/>
          <w:szCs w:val="24"/>
        </w:rPr>
        <w:t>安全更加重要</w:t>
      </w:r>
      <w:r w:rsidR="00307C24" w:rsidRPr="00516269">
        <w:rPr>
          <w:rFonts w:ascii="宋体" w:eastAsia="宋体" w:hAnsi="宋体" w:hint="eastAsia"/>
          <w:sz w:val="24"/>
          <w:szCs w:val="24"/>
        </w:rPr>
        <w:t>。</w:t>
      </w:r>
      <w:r w:rsidR="00FE7A71" w:rsidRPr="00516269">
        <w:rPr>
          <w:rFonts w:ascii="宋体" w:eastAsia="宋体" w:hAnsi="宋体" w:hint="eastAsia"/>
          <w:sz w:val="24"/>
          <w:szCs w:val="24"/>
        </w:rPr>
        <w:t>“十五五”时期，我国要</w:t>
      </w:r>
      <w:r w:rsidR="00CE5CC8" w:rsidRPr="00516269">
        <w:rPr>
          <w:rFonts w:ascii="宋体" w:eastAsia="宋体" w:hAnsi="宋体" w:hint="eastAsia"/>
          <w:sz w:val="24"/>
          <w:szCs w:val="24"/>
        </w:rPr>
        <w:t>有效统筹高质量发展和高水平安全，把高质量发展作为应对金融风险冲击和安全威胁的核心保障。</w:t>
      </w:r>
      <w:r w:rsidR="00CC6AC7" w:rsidRPr="00516269">
        <w:rPr>
          <w:rFonts w:ascii="宋体" w:eastAsia="宋体" w:hAnsi="宋体" w:hint="eastAsia"/>
          <w:sz w:val="24"/>
          <w:szCs w:val="24"/>
        </w:rPr>
        <w:t>有效统筹内外两个大局，有效</w:t>
      </w:r>
      <w:r w:rsidR="00CC6AC7" w:rsidRPr="00516269">
        <w:rPr>
          <w:rFonts w:ascii="宋体" w:eastAsia="宋体" w:hAnsi="宋体"/>
          <w:sz w:val="24"/>
          <w:szCs w:val="24"/>
        </w:rPr>
        <w:t>防范外部风险，</w:t>
      </w:r>
      <w:r w:rsidR="00CC6AC7" w:rsidRPr="00516269">
        <w:rPr>
          <w:rFonts w:ascii="宋体" w:eastAsia="宋体" w:hAnsi="宋体" w:hint="eastAsia"/>
          <w:sz w:val="24"/>
          <w:szCs w:val="24"/>
        </w:rPr>
        <w:t>严防金融</w:t>
      </w:r>
      <w:r w:rsidR="00CC6AC7" w:rsidRPr="00516269">
        <w:rPr>
          <w:rFonts w:ascii="宋体" w:eastAsia="宋体" w:hAnsi="宋体"/>
          <w:sz w:val="24"/>
          <w:szCs w:val="24"/>
        </w:rPr>
        <w:t>风险跨区域、跨市场和跨境共振传染，确保金融系统稳定和国家金融安全。</w:t>
      </w:r>
      <w:r w:rsidR="004D5421">
        <w:rPr>
          <w:rFonts w:ascii="宋体" w:eastAsia="宋体" w:hAnsi="宋体" w:hint="eastAsia"/>
          <w:sz w:val="24"/>
          <w:szCs w:val="24"/>
        </w:rPr>
        <w:t>从建设金融强国角度，</w:t>
      </w:r>
      <w:r w:rsidR="00CE5CC8" w:rsidRPr="00516269">
        <w:rPr>
          <w:rFonts w:ascii="宋体" w:eastAsia="宋体" w:hAnsi="宋体" w:hint="eastAsia"/>
          <w:sz w:val="24"/>
          <w:szCs w:val="24"/>
        </w:rPr>
        <w:t>要着重</w:t>
      </w:r>
      <w:r w:rsidR="00307C24" w:rsidRPr="00516269">
        <w:rPr>
          <w:rFonts w:ascii="宋体" w:eastAsia="宋体" w:hAnsi="宋体" w:hint="eastAsia"/>
          <w:sz w:val="24"/>
          <w:szCs w:val="24"/>
        </w:rPr>
        <w:t>警惕金融基础设施、重要金融市场、海外资产、</w:t>
      </w:r>
      <w:r w:rsidR="00CE5CC8" w:rsidRPr="00516269">
        <w:rPr>
          <w:rFonts w:ascii="宋体" w:eastAsia="宋体" w:hAnsi="宋体" w:hint="eastAsia"/>
          <w:sz w:val="24"/>
          <w:szCs w:val="24"/>
        </w:rPr>
        <w:t>数字金融</w:t>
      </w:r>
      <w:r w:rsidR="00307C24" w:rsidRPr="00516269">
        <w:rPr>
          <w:rFonts w:ascii="宋体" w:eastAsia="宋体" w:hAnsi="宋体" w:hint="eastAsia"/>
          <w:sz w:val="24"/>
          <w:szCs w:val="24"/>
        </w:rPr>
        <w:t>等</w:t>
      </w:r>
      <w:r w:rsidR="00CE5CC8" w:rsidRPr="00516269">
        <w:rPr>
          <w:rFonts w:ascii="宋体" w:eastAsia="宋体" w:hAnsi="宋体" w:hint="eastAsia"/>
          <w:sz w:val="24"/>
          <w:szCs w:val="24"/>
        </w:rPr>
        <w:t>领域的</w:t>
      </w:r>
      <w:r w:rsidR="00307C24" w:rsidRPr="00516269">
        <w:rPr>
          <w:rFonts w:ascii="宋体" w:eastAsia="宋体" w:hAnsi="宋体" w:hint="eastAsia"/>
          <w:sz w:val="24"/>
          <w:szCs w:val="24"/>
        </w:rPr>
        <w:t>安全</w:t>
      </w:r>
      <w:r w:rsidR="00CE5CC8" w:rsidRPr="00516269">
        <w:rPr>
          <w:rFonts w:ascii="宋体" w:eastAsia="宋体" w:hAnsi="宋体" w:hint="eastAsia"/>
          <w:sz w:val="24"/>
          <w:szCs w:val="24"/>
        </w:rPr>
        <w:t>隐患</w:t>
      </w:r>
      <w:r w:rsidR="00307C24" w:rsidRPr="00516269">
        <w:rPr>
          <w:rFonts w:ascii="宋体" w:eastAsia="宋体" w:hAnsi="宋体" w:hint="eastAsia"/>
          <w:sz w:val="24"/>
          <w:szCs w:val="24"/>
        </w:rPr>
        <w:t>，</w:t>
      </w:r>
      <w:r w:rsidR="00CE5CC8" w:rsidRPr="00516269">
        <w:rPr>
          <w:rFonts w:ascii="宋体" w:eastAsia="宋体" w:hAnsi="宋体" w:hint="eastAsia"/>
          <w:sz w:val="24"/>
          <w:szCs w:val="24"/>
        </w:rPr>
        <w:t>深刻领会金融基础设施的金融“总开关”功能，促进资本市场更好服务科技创新和经济转型，确保海外资产安全以及资产负债动态匹配，在数字金融新赛道上</w:t>
      </w:r>
      <w:r w:rsidR="008254B9" w:rsidRPr="00516269">
        <w:rPr>
          <w:rFonts w:ascii="宋体" w:eastAsia="宋体" w:hAnsi="宋体" w:hint="eastAsia"/>
          <w:sz w:val="24"/>
          <w:szCs w:val="24"/>
        </w:rPr>
        <w:t>赢得主动</w:t>
      </w:r>
      <w:r w:rsidR="00CE5CC8" w:rsidRPr="00516269">
        <w:rPr>
          <w:rFonts w:ascii="宋体" w:eastAsia="宋体" w:hAnsi="宋体" w:hint="eastAsia"/>
          <w:sz w:val="24"/>
          <w:szCs w:val="24"/>
        </w:rPr>
        <w:t>。</w:t>
      </w:r>
    </w:p>
    <w:bookmarkEnd w:id="0"/>
    <w:p w14:paraId="0D12220E" w14:textId="77777777" w:rsidR="007A6106" w:rsidRDefault="007A6106" w:rsidP="007A6106">
      <w:pPr>
        <w:adjustRightInd w:val="0"/>
        <w:snapToGrid w:val="0"/>
        <w:spacing w:before="100" w:beforeAutospacing="1" w:after="100" w:afterAutospacing="1" w:line="288" w:lineRule="auto"/>
        <w:contextualSpacing/>
        <w:rPr>
          <w:sz w:val="24"/>
          <w:szCs w:val="24"/>
        </w:rPr>
      </w:pPr>
    </w:p>
    <w:p w14:paraId="42A43128" w14:textId="77777777" w:rsidR="00E14CE5" w:rsidRDefault="00E14CE5" w:rsidP="007A6106">
      <w:pPr>
        <w:adjustRightInd w:val="0"/>
        <w:snapToGrid w:val="0"/>
        <w:spacing w:before="100" w:beforeAutospacing="1" w:after="100" w:afterAutospacing="1" w:line="288" w:lineRule="auto"/>
        <w:contextualSpacing/>
        <w:rPr>
          <w:sz w:val="24"/>
          <w:szCs w:val="24"/>
        </w:rPr>
      </w:pPr>
    </w:p>
    <w:p w14:paraId="596844AC" w14:textId="77777777" w:rsidR="00E14CE5" w:rsidRDefault="00E14CE5" w:rsidP="007A6106">
      <w:pPr>
        <w:adjustRightInd w:val="0"/>
        <w:snapToGrid w:val="0"/>
        <w:spacing w:before="100" w:beforeAutospacing="1" w:after="100" w:afterAutospacing="1" w:line="288" w:lineRule="auto"/>
        <w:contextualSpacing/>
        <w:rPr>
          <w:sz w:val="24"/>
          <w:szCs w:val="24"/>
        </w:rPr>
      </w:pPr>
    </w:p>
    <w:p w14:paraId="3D620A41" w14:textId="77777777" w:rsidR="007A6106" w:rsidRDefault="007A6106" w:rsidP="007A6106">
      <w:pPr>
        <w:adjustRightInd w:val="0"/>
        <w:snapToGrid w:val="0"/>
        <w:spacing w:before="100" w:beforeAutospacing="1" w:after="100" w:afterAutospacing="1" w:line="288" w:lineRule="auto"/>
        <w:contextualSpacing/>
        <w:rPr>
          <w:sz w:val="24"/>
          <w:szCs w:val="24"/>
        </w:rPr>
      </w:pPr>
    </w:p>
    <w:p w14:paraId="55BA0D14" w14:textId="19ED3FE1" w:rsidR="007A6106" w:rsidRPr="00EB144D" w:rsidRDefault="007A6106" w:rsidP="00D20C87">
      <w:pPr>
        <w:adjustRightInd w:val="0"/>
        <w:snapToGrid w:val="0"/>
        <w:spacing w:before="100" w:beforeAutospacing="1" w:after="100" w:afterAutospacing="1"/>
        <w:contextualSpacing/>
        <w:rPr>
          <w:rFonts w:ascii="Times New Roman" w:eastAsia="宋体" w:hAnsi="Times New Roman" w:cs="Times New Roman"/>
          <w:b/>
          <w:bCs/>
          <w:sz w:val="24"/>
          <w:szCs w:val="24"/>
        </w:rPr>
      </w:pPr>
      <w:r w:rsidRPr="00EB144D">
        <w:rPr>
          <w:rFonts w:ascii="Times New Roman" w:eastAsia="宋体" w:hAnsi="Times New Roman" w:cs="Times New Roman"/>
          <w:b/>
          <w:bCs/>
          <w:sz w:val="24"/>
          <w:szCs w:val="24"/>
        </w:rPr>
        <w:t>参考文献</w:t>
      </w:r>
    </w:p>
    <w:p w14:paraId="20D87710" w14:textId="6204AB9C" w:rsidR="00E46090" w:rsidRPr="00EB144D" w:rsidRDefault="00E46090" w:rsidP="003411E5">
      <w:pPr>
        <w:adjustRightInd w:val="0"/>
        <w:snapToGrid w:val="0"/>
        <w:spacing w:before="100" w:beforeAutospacing="1" w:after="100" w:afterAutospacing="1"/>
        <w:contextualSpacing/>
        <w:rPr>
          <w:rFonts w:ascii="Times New Roman" w:eastAsia="宋体" w:hAnsi="Times New Roman" w:cs="Times New Roman"/>
          <w:sz w:val="24"/>
          <w:szCs w:val="24"/>
        </w:rPr>
      </w:pPr>
      <w:r w:rsidRPr="00EB144D">
        <w:rPr>
          <w:rFonts w:ascii="Times New Roman" w:eastAsia="宋体" w:hAnsi="Times New Roman" w:cs="Times New Roman"/>
          <w:sz w:val="24"/>
          <w:szCs w:val="24"/>
        </w:rPr>
        <w:t>焦瑾璞</w:t>
      </w:r>
      <w:r w:rsidR="003411E5">
        <w:rPr>
          <w:rFonts w:ascii="Times New Roman" w:eastAsia="宋体" w:hAnsi="Times New Roman" w:cs="Times New Roman" w:hint="eastAsia"/>
          <w:sz w:val="24"/>
          <w:szCs w:val="24"/>
        </w:rPr>
        <w:t>，</w:t>
      </w:r>
      <w:r w:rsidRPr="00EB144D">
        <w:rPr>
          <w:rFonts w:ascii="Times New Roman" w:eastAsia="宋体" w:hAnsi="Times New Roman" w:cs="Times New Roman"/>
          <w:sz w:val="24"/>
          <w:szCs w:val="24"/>
        </w:rPr>
        <w:t>2019</w:t>
      </w:r>
      <w:r w:rsidR="00BD3441">
        <w:rPr>
          <w:rFonts w:ascii="Times New Roman" w:eastAsia="宋体" w:hAnsi="Times New Roman" w:cs="Times New Roman" w:hint="eastAsia"/>
          <w:sz w:val="24"/>
          <w:szCs w:val="24"/>
        </w:rPr>
        <w:t>,</w:t>
      </w:r>
      <w:r w:rsidRPr="00EB144D">
        <w:rPr>
          <w:rFonts w:ascii="Times New Roman" w:eastAsia="宋体" w:hAnsi="Times New Roman" w:cs="Times New Roman"/>
          <w:sz w:val="24"/>
          <w:szCs w:val="24"/>
        </w:rPr>
        <w:t>《中国金融基础设施功能与建设研究》，社会科学文献出版社。</w:t>
      </w:r>
    </w:p>
    <w:p w14:paraId="2B5C606E" w14:textId="556CE126" w:rsidR="00E46090" w:rsidRPr="00EB144D" w:rsidRDefault="00E46090" w:rsidP="003411E5">
      <w:pPr>
        <w:adjustRightInd w:val="0"/>
        <w:snapToGrid w:val="0"/>
        <w:spacing w:before="100" w:beforeAutospacing="1" w:after="100" w:afterAutospacing="1"/>
        <w:ind w:left="480" w:hangingChars="200" w:hanging="480"/>
        <w:contextualSpacing/>
        <w:rPr>
          <w:rFonts w:ascii="Times New Roman" w:eastAsia="宋体" w:hAnsi="Times New Roman" w:cs="Times New Roman"/>
          <w:sz w:val="24"/>
          <w:szCs w:val="24"/>
        </w:rPr>
      </w:pPr>
      <w:r w:rsidRPr="00EB144D">
        <w:rPr>
          <w:rFonts w:ascii="Times New Roman" w:eastAsia="宋体" w:hAnsi="Times New Roman" w:cs="Times New Roman"/>
          <w:sz w:val="24"/>
          <w:szCs w:val="24"/>
        </w:rPr>
        <w:t>萨克斯</w:t>
      </w:r>
      <w:r w:rsidRPr="00EB144D">
        <w:rPr>
          <w:rFonts w:ascii="Times New Roman" w:eastAsia="宋体" w:hAnsi="Times New Roman" w:cs="Times New Roman" w:hint="eastAsia"/>
          <w:sz w:val="24"/>
          <w:szCs w:val="24"/>
        </w:rPr>
        <w:t>，</w:t>
      </w:r>
      <w:r w:rsidRPr="00EB144D">
        <w:rPr>
          <w:rFonts w:ascii="Times New Roman" w:eastAsia="宋体" w:hAnsi="Times New Roman" w:cs="Times New Roman"/>
          <w:sz w:val="24"/>
          <w:szCs w:val="24"/>
        </w:rPr>
        <w:t>杰弗里</w:t>
      </w:r>
      <w:r w:rsidR="003411E5">
        <w:rPr>
          <w:rFonts w:ascii="Times New Roman" w:eastAsia="宋体" w:hAnsi="Times New Roman" w:cs="Times New Roman" w:hint="eastAsia"/>
          <w:sz w:val="24"/>
          <w:szCs w:val="24"/>
        </w:rPr>
        <w:t>，</w:t>
      </w:r>
      <w:r w:rsidRPr="00EB144D">
        <w:rPr>
          <w:rFonts w:ascii="Times New Roman" w:eastAsia="宋体" w:hAnsi="Times New Roman" w:cs="Times New Roman"/>
          <w:sz w:val="24"/>
          <w:szCs w:val="24"/>
        </w:rPr>
        <w:t>2024</w:t>
      </w:r>
      <w:r w:rsidR="00BD3441">
        <w:rPr>
          <w:rFonts w:ascii="Times New Roman" w:eastAsia="宋体" w:hAnsi="Times New Roman" w:cs="Times New Roman" w:hint="eastAsia"/>
          <w:sz w:val="24"/>
          <w:szCs w:val="24"/>
        </w:rPr>
        <w:t>,</w:t>
      </w:r>
      <w:r w:rsidRPr="00EB144D">
        <w:rPr>
          <w:rFonts w:ascii="Times New Roman" w:eastAsia="宋体" w:hAnsi="Times New Roman" w:cs="Times New Roman"/>
          <w:sz w:val="24"/>
          <w:szCs w:val="24"/>
        </w:rPr>
        <w:t>《特朗普上台后的中美经贸关系展望》，《国际金融》，第</w:t>
      </w:r>
      <w:r w:rsidRPr="00EB144D">
        <w:rPr>
          <w:rFonts w:ascii="Times New Roman" w:eastAsia="宋体" w:hAnsi="Times New Roman" w:cs="Times New Roman"/>
          <w:sz w:val="24"/>
          <w:szCs w:val="24"/>
        </w:rPr>
        <w:t>12</w:t>
      </w:r>
      <w:r w:rsidRPr="00EB144D">
        <w:rPr>
          <w:rFonts w:ascii="Times New Roman" w:eastAsia="宋体" w:hAnsi="Times New Roman" w:cs="Times New Roman"/>
          <w:sz w:val="24"/>
          <w:szCs w:val="24"/>
        </w:rPr>
        <w:t>期。</w:t>
      </w:r>
    </w:p>
    <w:p w14:paraId="11EC179B" w14:textId="63456722" w:rsidR="00E46090" w:rsidRPr="00EB144D" w:rsidRDefault="00E46090" w:rsidP="003411E5">
      <w:pPr>
        <w:adjustRightInd w:val="0"/>
        <w:snapToGrid w:val="0"/>
        <w:spacing w:before="100" w:beforeAutospacing="1" w:after="100" w:afterAutospacing="1"/>
        <w:ind w:left="480" w:hangingChars="200" w:hanging="480"/>
        <w:contextualSpacing/>
        <w:rPr>
          <w:rFonts w:ascii="Times New Roman" w:eastAsia="宋体" w:hAnsi="Times New Roman" w:cs="Times New Roman"/>
          <w:color w:val="000000" w:themeColor="text1"/>
          <w:sz w:val="24"/>
          <w:szCs w:val="24"/>
        </w:rPr>
      </w:pPr>
      <w:r w:rsidRPr="00EB144D">
        <w:rPr>
          <w:rFonts w:ascii="Times New Roman" w:eastAsia="宋体" w:hAnsi="Times New Roman" w:cs="Times New Roman"/>
          <w:color w:val="000000" w:themeColor="text1"/>
          <w:sz w:val="24"/>
          <w:szCs w:val="24"/>
        </w:rPr>
        <w:t>易纲和汤弦</w:t>
      </w:r>
      <w:r w:rsidR="003411E5">
        <w:rPr>
          <w:rFonts w:ascii="Times New Roman" w:eastAsia="宋体" w:hAnsi="Times New Roman" w:cs="Times New Roman" w:hint="eastAsia"/>
          <w:color w:val="000000" w:themeColor="text1"/>
          <w:sz w:val="24"/>
          <w:szCs w:val="24"/>
        </w:rPr>
        <w:t>，</w:t>
      </w:r>
      <w:r w:rsidRPr="00EB144D">
        <w:rPr>
          <w:rFonts w:ascii="Times New Roman" w:eastAsia="宋体" w:hAnsi="Times New Roman" w:cs="Times New Roman"/>
          <w:color w:val="000000" w:themeColor="text1"/>
          <w:sz w:val="24"/>
          <w:szCs w:val="24"/>
        </w:rPr>
        <w:t>2001</w:t>
      </w:r>
      <w:r w:rsidR="00BD3441">
        <w:rPr>
          <w:rFonts w:ascii="Times New Roman" w:eastAsia="宋体" w:hAnsi="Times New Roman" w:cs="Times New Roman" w:hint="eastAsia"/>
          <w:color w:val="000000" w:themeColor="text1"/>
          <w:sz w:val="24"/>
          <w:szCs w:val="24"/>
        </w:rPr>
        <w:t>,</w:t>
      </w:r>
      <w:r w:rsidRPr="00EB144D">
        <w:rPr>
          <w:rFonts w:ascii="Times New Roman" w:eastAsia="宋体" w:hAnsi="Times New Roman" w:cs="Times New Roman" w:hint="eastAsia"/>
          <w:color w:val="000000" w:themeColor="text1"/>
          <w:sz w:val="24"/>
          <w:szCs w:val="24"/>
        </w:rPr>
        <w:t>《</w:t>
      </w:r>
      <w:r w:rsidRPr="00EB144D">
        <w:rPr>
          <w:rFonts w:ascii="Times New Roman" w:eastAsia="宋体" w:hAnsi="Times New Roman" w:cs="Times New Roman"/>
          <w:color w:val="000000" w:themeColor="text1"/>
          <w:sz w:val="24"/>
          <w:szCs w:val="24"/>
        </w:rPr>
        <w:t>汇率制度</w:t>
      </w:r>
      <w:r w:rsidRPr="00EB144D">
        <w:rPr>
          <w:rFonts w:ascii="宋体" w:eastAsia="宋体" w:hAnsi="宋体" w:cs="Times New Roman" w:hint="eastAsia"/>
          <w:color w:val="000000" w:themeColor="text1"/>
          <w:sz w:val="24"/>
          <w:szCs w:val="24"/>
        </w:rPr>
        <w:t>“</w:t>
      </w:r>
      <w:r w:rsidRPr="00EB144D">
        <w:rPr>
          <w:rFonts w:ascii="宋体" w:eastAsia="宋体" w:hAnsi="宋体" w:cs="Times New Roman"/>
          <w:color w:val="000000" w:themeColor="text1"/>
          <w:sz w:val="24"/>
          <w:szCs w:val="24"/>
        </w:rPr>
        <w:t>角点解假设”的</w:t>
      </w:r>
      <w:r w:rsidRPr="00EB144D">
        <w:rPr>
          <w:rFonts w:ascii="Times New Roman" w:eastAsia="宋体" w:hAnsi="Times New Roman" w:cs="Times New Roman"/>
          <w:color w:val="000000" w:themeColor="text1"/>
          <w:sz w:val="24"/>
          <w:szCs w:val="24"/>
        </w:rPr>
        <w:t>一个理论基础</w:t>
      </w:r>
      <w:r w:rsidRPr="00EB144D">
        <w:rPr>
          <w:rFonts w:ascii="Times New Roman" w:eastAsia="宋体" w:hAnsi="Times New Roman" w:cs="Times New Roman" w:hint="eastAsia"/>
          <w:color w:val="000000" w:themeColor="text1"/>
          <w:sz w:val="24"/>
          <w:szCs w:val="24"/>
        </w:rPr>
        <w:t>》</w:t>
      </w:r>
      <w:r w:rsidRPr="00EB144D">
        <w:rPr>
          <w:rFonts w:ascii="Times New Roman" w:eastAsia="宋体" w:hAnsi="Times New Roman" w:cs="Times New Roman"/>
          <w:color w:val="000000" w:themeColor="text1"/>
          <w:sz w:val="24"/>
          <w:szCs w:val="24"/>
        </w:rPr>
        <w:t>，《金融研究》，第</w:t>
      </w:r>
      <w:r w:rsidRPr="00EB144D">
        <w:rPr>
          <w:rFonts w:ascii="Times New Roman" w:eastAsia="宋体" w:hAnsi="Times New Roman" w:cs="Times New Roman"/>
          <w:color w:val="000000" w:themeColor="text1"/>
          <w:sz w:val="24"/>
          <w:szCs w:val="24"/>
        </w:rPr>
        <w:t>8</w:t>
      </w:r>
      <w:r w:rsidRPr="00EB144D">
        <w:rPr>
          <w:rFonts w:ascii="Times New Roman" w:eastAsia="宋体" w:hAnsi="Times New Roman" w:cs="Times New Roman"/>
          <w:color w:val="000000" w:themeColor="text1"/>
          <w:sz w:val="24"/>
          <w:szCs w:val="24"/>
        </w:rPr>
        <w:t>期。</w:t>
      </w:r>
    </w:p>
    <w:p w14:paraId="29525F44" w14:textId="270D18ED" w:rsidR="00E46090" w:rsidRPr="00EB144D" w:rsidRDefault="00E46090" w:rsidP="003411E5">
      <w:pPr>
        <w:adjustRightInd w:val="0"/>
        <w:snapToGrid w:val="0"/>
        <w:spacing w:before="100" w:beforeAutospacing="1" w:after="100" w:afterAutospacing="1"/>
        <w:ind w:left="480" w:hangingChars="200" w:hanging="480"/>
        <w:contextualSpacing/>
        <w:rPr>
          <w:rFonts w:ascii="Times New Roman" w:eastAsia="宋体" w:hAnsi="Times New Roman" w:cs="Times New Roman"/>
          <w:sz w:val="24"/>
          <w:szCs w:val="24"/>
        </w:rPr>
      </w:pPr>
      <w:r w:rsidRPr="00EB144D">
        <w:rPr>
          <w:rFonts w:ascii="Times New Roman" w:eastAsia="宋体" w:hAnsi="Times New Roman" w:cs="Times New Roman"/>
          <w:sz w:val="24"/>
          <w:szCs w:val="24"/>
        </w:rPr>
        <w:t>张明、王</w:t>
      </w:r>
      <w:proofErr w:type="gramStart"/>
      <w:r w:rsidRPr="00EB144D">
        <w:rPr>
          <w:rFonts w:ascii="Times New Roman" w:eastAsia="宋体" w:hAnsi="Times New Roman" w:cs="Times New Roman"/>
          <w:sz w:val="24"/>
          <w:szCs w:val="24"/>
        </w:rPr>
        <w:t>喆</w:t>
      </w:r>
      <w:proofErr w:type="gramEnd"/>
      <w:r w:rsidR="003411E5">
        <w:rPr>
          <w:rFonts w:ascii="Times New Roman" w:eastAsia="宋体" w:hAnsi="Times New Roman" w:cs="Times New Roman" w:hint="eastAsia"/>
          <w:sz w:val="24"/>
          <w:szCs w:val="24"/>
        </w:rPr>
        <w:t>，</w:t>
      </w:r>
      <w:r w:rsidRPr="00EB144D">
        <w:rPr>
          <w:rFonts w:ascii="Times New Roman" w:eastAsia="宋体" w:hAnsi="Times New Roman" w:cs="Times New Roman"/>
          <w:sz w:val="24"/>
          <w:szCs w:val="24"/>
        </w:rPr>
        <w:t>2024</w:t>
      </w:r>
      <w:r w:rsidR="00BD3441">
        <w:rPr>
          <w:rFonts w:ascii="Times New Roman" w:eastAsia="宋体" w:hAnsi="Times New Roman" w:cs="Times New Roman" w:hint="eastAsia"/>
          <w:sz w:val="24"/>
          <w:szCs w:val="24"/>
        </w:rPr>
        <w:t>,</w:t>
      </w:r>
      <w:r w:rsidRPr="00EB144D">
        <w:rPr>
          <w:rFonts w:ascii="Times New Roman" w:eastAsia="宋体" w:hAnsi="Times New Roman" w:cs="Times New Roman"/>
          <w:sz w:val="24"/>
          <w:szCs w:val="24"/>
        </w:rPr>
        <w:t>《稳慎扎实推进人民币国际化路径探析》，《开放导报》，第</w:t>
      </w:r>
      <w:r w:rsidRPr="00EB144D">
        <w:rPr>
          <w:rFonts w:ascii="Times New Roman" w:eastAsia="宋体" w:hAnsi="Times New Roman" w:cs="Times New Roman"/>
          <w:sz w:val="24"/>
          <w:szCs w:val="24"/>
        </w:rPr>
        <w:t>2</w:t>
      </w:r>
      <w:r w:rsidRPr="00EB144D">
        <w:rPr>
          <w:rFonts w:ascii="Times New Roman" w:eastAsia="宋体" w:hAnsi="Times New Roman" w:cs="Times New Roman"/>
          <w:sz w:val="24"/>
          <w:szCs w:val="24"/>
        </w:rPr>
        <w:t>期。</w:t>
      </w:r>
    </w:p>
    <w:p w14:paraId="581D71E4" w14:textId="60E49FA8" w:rsidR="00E46090" w:rsidRPr="00EB144D" w:rsidRDefault="00E46090" w:rsidP="003411E5">
      <w:pPr>
        <w:adjustRightInd w:val="0"/>
        <w:snapToGrid w:val="0"/>
        <w:spacing w:before="100" w:beforeAutospacing="1" w:after="100" w:afterAutospacing="1"/>
        <w:ind w:left="480" w:hangingChars="200" w:hanging="480"/>
        <w:contextualSpacing/>
        <w:rPr>
          <w:rFonts w:ascii="Times New Roman" w:eastAsia="宋体" w:hAnsi="Times New Roman" w:cs="Times New Roman"/>
          <w:color w:val="000000" w:themeColor="text1"/>
          <w:sz w:val="24"/>
          <w:szCs w:val="24"/>
          <w:lang w:val="en"/>
        </w:rPr>
      </w:pPr>
      <w:r w:rsidRPr="00EB144D">
        <w:rPr>
          <w:rFonts w:ascii="Times New Roman" w:eastAsia="宋体" w:hAnsi="Times New Roman" w:cs="Times New Roman"/>
          <w:color w:val="000000" w:themeColor="text1"/>
          <w:sz w:val="24"/>
          <w:szCs w:val="24"/>
        </w:rPr>
        <w:t>张明、王</w:t>
      </w:r>
      <w:proofErr w:type="gramStart"/>
      <w:r w:rsidRPr="00EB144D">
        <w:rPr>
          <w:rFonts w:ascii="Times New Roman" w:eastAsia="宋体" w:hAnsi="Times New Roman" w:cs="Times New Roman"/>
          <w:color w:val="000000" w:themeColor="text1"/>
          <w:sz w:val="24"/>
          <w:szCs w:val="24"/>
        </w:rPr>
        <w:t>喆</w:t>
      </w:r>
      <w:proofErr w:type="gramEnd"/>
      <w:r w:rsidRPr="00EB144D">
        <w:rPr>
          <w:rFonts w:ascii="Times New Roman" w:eastAsia="宋体" w:hAnsi="Times New Roman" w:cs="Times New Roman"/>
          <w:color w:val="000000" w:themeColor="text1"/>
          <w:sz w:val="24"/>
          <w:szCs w:val="24"/>
        </w:rPr>
        <w:t>、</w:t>
      </w:r>
      <w:r w:rsidRPr="00EB144D">
        <w:rPr>
          <w:rFonts w:ascii="Times New Roman" w:eastAsia="宋体" w:hAnsi="Times New Roman" w:cs="Times New Roman"/>
          <w:color w:val="000000" w:themeColor="text1"/>
          <w:sz w:val="24"/>
          <w:szCs w:val="24"/>
          <w:lang w:val="en"/>
        </w:rPr>
        <w:t>陈胤默</w:t>
      </w:r>
      <w:r w:rsidR="003411E5">
        <w:rPr>
          <w:rFonts w:ascii="Times New Roman" w:eastAsia="宋体" w:hAnsi="Times New Roman" w:cs="Times New Roman" w:hint="eastAsia"/>
          <w:color w:val="000000" w:themeColor="text1"/>
          <w:sz w:val="24"/>
          <w:szCs w:val="24"/>
          <w:lang w:val="en"/>
        </w:rPr>
        <w:t>，</w:t>
      </w:r>
      <w:r w:rsidRPr="00EB144D">
        <w:rPr>
          <w:rFonts w:ascii="Times New Roman" w:eastAsia="宋体" w:hAnsi="Times New Roman" w:cs="Times New Roman"/>
          <w:sz w:val="24"/>
          <w:szCs w:val="24"/>
        </w:rPr>
        <w:t>2024</w:t>
      </w:r>
      <w:r w:rsidRPr="00EB144D">
        <w:rPr>
          <w:rFonts w:ascii="Times New Roman" w:eastAsia="宋体" w:hAnsi="Times New Roman" w:cs="Times New Roman" w:hint="eastAsia"/>
          <w:sz w:val="24"/>
          <w:szCs w:val="24"/>
        </w:rPr>
        <w:t>a</w:t>
      </w:r>
      <w:r w:rsidR="00BD3441">
        <w:rPr>
          <w:rFonts w:ascii="Times New Roman" w:eastAsia="宋体" w:hAnsi="Times New Roman" w:cs="Times New Roman" w:hint="eastAsia"/>
          <w:color w:val="000000" w:themeColor="text1"/>
          <w:sz w:val="24"/>
          <w:szCs w:val="24"/>
          <w:lang w:val="en"/>
        </w:rPr>
        <w:t>,</w:t>
      </w:r>
      <w:r w:rsidRPr="00EB144D">
        <w:rPr>
          <w:rFonts w:ascii="Times New Roman" w:eastAsia="宋体" w:hAnsi="Times New Roman" w:cs="Times New Roman"/>
          <w:color w:val="000000" w:themeColor="text1"/>
          <w:sz w:val="24"/>
          <w:szCs w:val="24"/>
          <w:lang w:val="en"/>
        </w:rPr>
        <w:t>《全球新变局之下的国际货币体系改革：驱动因素、方案比较与未来展望》，《国际金融研究》，第</w:t>
      </w:r>
      <w:r w:rsidRPr="00EB144D">
        <w:rPr>
          <w:rFonts w:ascii="Times New Roman" w:eastAsia="宋体" w:hAnsi="Times New Roman" w:cs="Times New Roman"/>
          <w:color w:val="000000" w:themeColor="text1"/>
          <w:sz w:val="24"/>
          <w:szCs w:val="24"/>
          <w:lang w:val="en"/>
        </w:rPr>
        <w:t>9</w:t>
      </w:r>
      <w:r w:rsidRPr="00EB144D">
        <w:rPr>
          <w:rFonts w:ascii="Times New Roman" w:eastAsia="宋体" w:hAnsi="Times New Roman" w:cs="Times New Roman"/>
          <w:color w:val="000000" w:themeColor="text1"/>
          <w:sz w:val="24"/>
          <w:szCs w:val="24"/>
          <w:lang w:val="en"/>
        </w:rPr>
        <w:t>期。</w:t>
      </w:r>
    </w:p>
    <w:p w14:paraId="7CA72EE3" w14:textId="1EA8D4F0" w:rsidR="00E46090" w:rsidRPr="00EB144D" w:rsidRDefault="00E46090" w:rsidP="003411E5">
      <w:pPr>
        <w:adjustRightInd w:val="0"/>
        <w:snapToGrid w:val="0"/>
        <w:spacing w:before="100" w:beforeAutospacing="1" w:after="100" w:afterAutospacing="1"/>
        <w:ind w:left="480" w:hangingChars="200" w:hanging="480"/>
        <w:contextualSpacing/>
        <w:rPr>
          <w:rFonts w:ascii="Times New Roman" w:eastAsia="宋体" w:hAnsi="Times New Roman" w:cs="Times New Roman"/>
          <w:sz w:val="24"/>
          <w:szCs w:val="24"/>
        </w:rPr>
      </w:pPr>
      <w:r w:rsidRPr="00EB144D">
        <w:rPr>
          <w:rFonts w:ascii="Times New Roman" w:eastAsia="宋体" w:hAnsi="Times New Roman" w:cs="Times New Roman"/>
          <w:sz w:val="24"/>
          <w:szCs w:val="24"/>
        </w:rPr>
        <w:t>张明、张鹏、王瑶</w:t>
      </w:r>
      <w:r w:rsidR="003411E5">
        <w:rPr>
          <w:rFonts w:ascii="Times New Roman" w:eastAsia="宋体" w:hAnsi="Times New Roman" w:cs="Times New Roman" w:hint="eastAsia"/>
          <w:sz w:val="24"/>
          <w:szCs w:val="24"/>
        </w:rPr>
        <w:t>，</w:t>
      </w:r>
      <w:r w:rsidRPr="00EB144D">
        <w:rPr>
          <w:rFonts w:ascii="Times New Roman" w:eastAsia="宋体" w:hAnsi="Times New Roman" w:cs="Times New Roman"/>
          <w:sz w:val="24"/>
          <w:szCs w:val="24"/>
        </w:rPr>
        <w:t>2024</w:t>
      </w:r>
      <w:r w:rsidRPr="00EB144D">
        <w:rPr>
          <w:rFonts w:ascii="Times New Roman" w:eastAsia="宋体" w:hAnsi="Times New Roman" w:cs="Times New Roman" w:hint="eastAsia"/>
          <w:sz w:val="24"/>
          <w:szCs w:val="24"/>
        </w:rPr>
        <w:t>b</w:t>
      </w:r>
      <w:r w:rsidR="00BD3441">
        <w:rPr>
          <w:rFonts w:ascii="Times New Roman" w:eastAsia="宋体" w:hAnsi="Times New Roman" w:cs="Times New Roman" w:hint="eastAsia"/>
          <w:sz w:val="24"/>
          <w:szCs w:val="24"/>
        </w:rPr>
        <w:t>,</w:t>
      </w:r>
      <w:r w:rsidRPr="00EB144D">
        <w:rPr>
          <w:rFonts w:ascii="Times New Roman" w:eastAsia="宋体" w:hAnsi="Times New Roman" w:cs="Times New Roman" w:hint="eastAsia"/>
          <w:sz w:val="24"/>
          <w:szCs w:val="24"/>
        </w:rPr>
        <w:t>《</w:t>
      </w:r>
      <w:r w:rsidRPr="00EB144D">
        <w:rPr>
          <w:rFonts w:ascii="Times New Roman" w:eastAsia="宋体" w:hAnsi="Times New Roman" w:cs="Times New Roman"/>
          <w:sz w:val="24"/>
          <w:szCs w:val="24"/>
        </w:rPr>
        <w:t>特朗普冲击</w:t>
      </w:r>
      <w:r w:rsidRPr="00EB144D">
        <w:rPr>
          <w:rFonts w:ascii="Times New Roman" w:eastAsia="宋体" w:hAnsi="Times New Roman" w:cs="Times New Roman"/>
          <w:sz w:val="24"/>
          <w:szCs w:val="24"/>
        </w:rPr>
        <w:t>2.0</w:t>
      </w:r>
      <w:r w:rsidRPr="00EB144D">
        <w:rPr>
          <w:rFonts w:ascii="Times New Roman" w:eastAsia="宋体" w:hAnsi="Times New Roman" w:cs="Times New Roman"/>
          <w:sz w:val="24"/>
          <w:szCs w:val="24"/>
        </w:rPr>
        <w:t>：辨析与应对</w:t>
      </w:r>
      <w:r w:rsidRPr="00EB144D">
        <w:rPr>
          <w:rFonts w:ascii="Times New Roman" w:eastAsia="宋体" w:hAnsi="Times New Roman" w:cs="Times New Roman" w:hint="eastAsia"/>
          <w:sz w:val="24"/>
          <w:szCs w:val="24"/>
        </w:rPr>
        <w:t>》</w:t>
      </w:r>
      <w:r w:rsidRPr="00EB144D">
        <w:rPr>
          <w:rFonts w:ascii="Times New Roman" w:eastAsia="宋体" w:hAnsi="Times New Roman" w:cs="Times New Roman"/>
          <w:sz w:val="24"/>
          <w:szCs w:val="24"/>
        </w:rPr>
        <w:t>，《财经》，</w:t>
      </w:r>
      <w:r w:rsidR="003411E5" w:rsidRPr="00EB144D">
        <w:rPr>
          <w:rFonts w:ascii="Times New Roman" w:eastAsia="宋体" w:hAnsi="Times New Roman" w:cs="Times New Roman"/>
          <w:sz w:val="24"/>
          <w:szCs w:val="24"/>
        </w:rPr>
        <w:t xml:space="preserve"> </w:t>
      </w:r>
      <w:r w:rsidRPr="00EB144D">
        <w:rPr>
          <w:rFonts w:ascii="Times New Roman" w:eastAsia="宋体" w:hAnsi="Times New Roman" w:cs="Times New Roman"/>
          <w:sz w:val="24"/>
          <w:szCs w:val="24"/>
        </w:rPr>
        <w:t>11</w:t>
      </w:r>
      <w:r w:rsidRPr="00EB144D">
        <w:rPr>
          <w:rFonts w:ascii="Times New Roman" w:eastAsia="宋体" w:hAnsi="Times New Roman" w:cs="Times New Roman"/>
          <w:sz w:val="24"/>
          <w:szCs w:val="24"/>
        </w:rPr>
        <w:t>月</w:t>
      </w:r>
      <w:r w:rsidRPr="00EB144D">
        <w:rPr>
          <w:rFonts w:ascii="Times New Roman" w:eastAsia="宋体" w:hAnsi="Times New Roman" w:cs="Times New Roman"/>
          <w:sz w:val="24"/>
          <w:szCs w:val="24"/>
        </w:rPr>
        <w:t>19</w:t>
      </w:r>
      <w:r w:rsidRPr="00EB144D">
        <w:rPr>
          <w:rFonts w:ascii="Times New Roman" w:eastAsia="宋体" w:hAnsi="Times New Roman" w:cs="Times New Roman"/>
          <w:sz w:val="24"/>
          <w:szCs w:val="24"/>
        </w:rPr>
        <w:t>日。</w:t>
      </w:r>
    </w:p>
    <w:p w14:paraId="34BEAC5B" w14:textId="1CD9CB1E" w:rsidR="00E46090" w:rsidRPr="00EB144D" w:rsidRDefault="00E46090" w:rsidP="003411E5">
      <w:pPr>
        <w:adjustRightInd w:val="0"/>
        <w:snapToGrid w:val="0"/>
        <w:spacing w:before="100" w:beforeAutospacing="1" w:after="100" w:afterAutospacing="1"/>
        <w:contextualSpacing/>
        <w:rPr>
          <w:rFonts w:ascii="Times New Roman" w:eastAsia="宋体" w:hAnsi="Times New Roman" w:cs="Times New Roman"/>
          <w:sz w:val="24"/>
          <w:szCs w:val="24"/>
        </w:rPr>
      </w:pPr>
      <w:r w:rsidRPr="00EB144D">
        <w:rPr>
          <w:rFonts w:ascii="Times New Roman" w:eastAsia="宋体" w:hAnsi="Times New Roman" w:cs="Times New Roman"/>
          <w:sz w:val="24"/>
          <w:szCs w:val="24"/>
        </w:rPr>
        <w:t>张晓晶</w:t>
      </w:r>
      <w:r w:rsidR="003411E5">
        <w:rPr>
          <w:rFonts w:ascii="Times New Roman" w:eastAsia="宋体" w:hAnsi="Times New Roman" w:cs="Times New Roman" w:hint="eastAsia"/>
          <w:sz w:val="24"/>
          <w:szCs w:val="24"/>
        </w:rPr>
        <w:t>，</w:t>
      </w:r>
      <w:r w:rsidRPr="00EB144D">
        <w:rPr>
          <w:rFonts w:ascii="Times New Roman" w:eastAsia="宋体" w:hAnsi="Times New Roman" w:cs="Times New Roman" w:hint="eastAsia"/>
          <w:sz w:val="24"/>
          <w:szCs w:val="24"/>
        </w:rPr>
        <w:t>2023</w:t>
      </w:r>
      <w:r w:rsidR="00BD3441">
        <w:rPr>
          <w:rFonts w:ascii="Times New Roman" w:eastAsia="宋体" w:hAnsi="Times New Roman" w:cs="Times New Roman" w:hint="eastAsia"/>
          <w:sz w:val="24"/>
          <w:szCs w:val="24"/>
        </w:rPr>
        <w:t>,</w:t>
      </w:r>
      <w:r w:rsidRPr="00EB144D">
        <w:rPr>
          <w:rFonts w:ascii="Times New Roman" w:eastAsia="宋体" w:hAnsi="Times New Roman" w:cs="Times New Roman" w:hint="eastAsia"/>
          <w:sz w:val="24"/>
          <w:szCs w:val="24"/>
        </w:rPr>
        <w:t>《</w:t>
      </w:r>
      <w:r w:rsidRPr="00EB144D">
        <w:rPr>
          <w:rFonts w:ascii="Times New Roman" w:eastAsia="宋体" w:hAnsi="Times New Roman" w:cs="Times New Roman"/>
          <w:sz w:val="24"/>
          <w:szCs w:val="24"/>
        </w:rPr>
        <w:t>做好科技金融这篇大文章</w:t>
      </w:r>
      <w:r w:rsidRPr="00EB144D">
        <w:rPr>
          <w:rFonts w:ascii="Times New Roman" w:eastAsia="宋体" w:hAnsi="Times New Roman" w:cs="Times New Roman" w:hint="eastAsia"/>
          <w:sz w:val="24"/>
          <w:szCs w:val="24"/>
        </w:rPr>
        <w:t>》</w:t>
      </w:r>
      <w:r w:rsidRPr="00EB144D">
        <w:rPr>
          <w:rFonts w:ascii="Times New Roman" w:eastAsia="宋体" w:hAnsi="Times New Roman" w:cs="Times New Roman"/>
          <w:sz w:val="24"/>
          <w:szCs w:val="24"/>
        </w:rPr>
        <w:t>，《学习时报》，</w:t>
      </w:r>
      <w:r w:rsidR="003411E5" w:rsidRPr="00EB144D">
        <w:rPr>
          <w:rFonts w:ascii="Times New Roman" w:eastAsia="宋体" w:hAnsi="Times New Roman" w:cs="Times New Roman"/>
          <w:sz w:val="24"/>
          <w:szCs w:val="24"/>
        </w:rPr>
        <w:t xml:space="preserve"> </w:t>
      </w:r>
      <w:r w:rsidRPr="00EB144D">
        <w:rPr>
          <w:rFonts w:ascii="Times New Roman" w:eastAsia="宋体" w:hAnsi="Times New Roman" w:cs="Times New Roman"/>
          <w:sz w:val="24"/>
          <w:szCs w:val="24"/>
        </w:rPr>
        <w:t>12</w:t>
      </w:r>
      <w:r w:rsidRPr="00EB144D">
        <w:rPr>
          <w:rFonts w:ascii="Times New Roman" w:eastAsia="宋体" w:hAnsi="Times New Roman" w:cs="Times New Roman"/>
          <w:sz w:val="24"/>
          <w:szCs w:val="24"/>
        </w:rPr>
        <w:t>月</w:t>
      </w:r>
      <w:r w:rsidRPr="00EB144D">
        <w:rPr>
          <w:rFonts w:ascii="Times New Roman" w:eastAsia="宋体" w:hAnsi="Times New Roman" w:cs="Times New Roman"/>
          <w:sz w:val="24"/>
          <w:szCs w:val="24"/>
        </w:rPr>
        <w:t>27</w:t>
      </w:r>
      <w:r w:rsidRPr="00EB144D">
        <w:rPr>
          <w:rFonts w:ascii="Times New Roman" w:eastAsia="宋体" w:hAnsi="Times New Roman" w:cs="Times New Roman"/>
          <w:sz w:val="24"/>
          <w:szCs w:val="24"/>
        </w:rPr>
        <w:t>日。</w:t>
      </w:r>
    </w:p>
    <w:p w14:paraId="11E6FC7F" w14:textId="63E80A15" w:rsidR="00E46090" w:rsidRPr="00EB144D" w:rsidRDefault="00E46090" w:rsidP="003411E5">
      <w:pPr>
        <w:adjustRightInd w:val="0"/>
        <w:snapToGrid w:val="0"/>
        <w:spacing w:before="100" w:beforeAutospacing="1" w:after="100" w:afterAutospacing="1"/>
        <w:ind w:left="480" w:hangingChars="200" w:hanging="480"/>
        <w:contextualSpacing/>
        <w:rPr>
          <w:rFonts w:ascii="Times New Roman" w:eastAsia="宋体" w:hAnsi="Times New Roman" w:cs="Times New Roman"/>
          <w:sz w:val="24"/>
          <w:szCs w:val="24"/>
        </w:rPr>
      </w:pPr>
      <w:r w:rsidRPr="00EB144D">
        <w:rPr>
          <w:rFonts w:ascii="Times New Roman" w:eastAsia="宋体" w:hAnsi="Times New Roman" w:cs="Times New Roman"/>
          <w:sz w:val="24"/>
          <w:szCs w:val="24"/>
        </w:rPr>
        <w:t>张晓晶</w:t>
      </w:r>
      <w:r w:rsidR="003411E5">
        <w:rPr>
          <w:rFonts w:ascii="Times New Roman" w:eastAsia="宋体" w:hAnsi="Times New Roman" w:cs="Times New Roman" w:hint="eastAsia"/>
          <w:sz w:val="24"/>
          <w:szCs w:val="24"/>
        </w:rPr>
        <w:t>，</w:t>
      </w:r>
      <w:r w:rsidRPr="00EB144D">
        <w:rPr>
          <w:rFonts w:ascii="Times New Roman" w:eastAsia="宋体" w:hAnsi="Times New Roman" w:cs="Times New Roman"/>
          <w:sz w:val="24"/>
          <w:szCs w:val="24"/>
        </w:rPr>
        <w:t>2024</w:t>
      </w:r>
      <w:r w:rsidRPr="00EB144D">
        <w:rPr>
          <w:rFonts w:ascii="Times New Roman" w:eastAsia="宋体" w:hAnsi="Times New Roman" w:cs="Times New Roman" w:hint="eastAsia"/>
          <w:sz w:val="24"/>
          <w:szCs w:val="24"/>
        </w:rPr>
        <w:t>a</w:t>
      </w:r>
      <w:r w:rsidR="00BD3441">
        <w:rPr>
          <w:rFonts w:ascii="Times New Roman" w:eastAsia="宋体" w:hAnsi="Times New Roman" w:cs="Times New Roman" w:hint="eastAsia"/>
          <w:sz w:val="24"/>
          <w:szCs w:val="24"/>
        </w:rPr>
        <w:t>,</w:t>
      </w:r>
      <w:r w:rsidRPr="00EB144D">
        <w:rPr>
          <w:rFonts w:ascii="Times New Roman" w:eastAsia="宋体" w:hAnsi="Times New Roman" w:cs="Times New Roman"/>
          <w:sz w:val="24"/>
          <w:szCs w:val="24"/>
        </w:rPr>
        <w:t>《锁定金融强国目标，推动金融高质量发展</w:t>
      </w:r>
      <w:r w:rsidRPr="00EB144D">
        <w:rPr>
          <w:rFonts w:ascii="Times New Roman" w:eastAsia="宋体" w:hAnsi="Times New Roman" w:cs="Times New Roman"/>
          <w:sz w:val="24"/>
          <w:szCs w:val="24"/>
        </w:rPr>
        <w:t>----</w:t>
      </w:r>
      <w:r w:rsidRPr="00EB144D">
        <w:rPr>
          <w:rFonts w:ascii="Times New Roman" w:eastAsia="宋体" w:hAnsi="Times New Roman" w:cs="Times New Roman"/>
          <w:sz w:val="24"/>
          <w:szCs w:val="24"/>
        </w:rPr>
        <w:t>理论框架与实践路径》，《经济学动态》，第</w:t>
      </w:r>
      <w:r w:rsidRPr="00EB144D">
        <w:rPr>
          <w:rFonts w:ascii="Times New Roman" w:eastAsia="宋体" w:hAnsi="Times New Roman" w:cs="Times New Roman"/>
          <w:sz w:val="24"/>
          <w:szCs w:val="24"/>
        </w:rPr>
        <w:t>2</w:t>
      </w:r>
      <w:r w:rsidRPr="00EB144D">
        <w:rPr>
          <w:rFonts w:ascii="Times New Roman" w:eastAsia="宋体" w:hAnsi="Times New Roman" w:cs="Times New Roman"/>
          <w:sz w:val="24"/>
          <w:szCs w:val="24"/>
        </w:rPr>
        <w:t>期。</w:t>
      </w:r>
    </w:p>
    <w:p w14:paraId="65715B04" w14:textId="06CD4519" w:rsidR="00E46090" w:rsidRPr="00EB144D" w:rsidRDefault="00E46090" w:rsidP="003411E5">
      <w:pPr>
        <w:adjustRightInd w:val="0"/>
        <w:snapToGrid w:val="0"/>
        <w:spacing w:before="100" w:beforeAutospacing="1" w:after="100" w:afterAutospacing="1"/>
        <w:ind w:left="480" w:hangingChars="200" w:hanging="480"/>
        <w:contextualSpacing/>
        <w:rPr>
          <w:rFonts w:ascii="Times New Roman" w:eastAsia="宋体" w:hAnsi="Times New Roman" w:cs="Times New Roman"/>
          <w:sz w:val="24"/>
          <w:szCs w:val="24"/>
        </w:rPr>
      </w:pPr>
      <w:r w:rsidRPr="00EB144D">
        <w:rPr>
          <w:rFonts w:ascii="Times New Roman" w:eastAsia="宋体" w:hAnsi="Times New Roman" w:cs="Times New Roman"/>
          <w:sz w:val="24"/>
          <w:szCs w:val="24"/>
        </w:rPr>
        <w:t>张晓晶</w:t>
      </w:r>
      <w:r w:rsidR="003411E5">
        <w:rPr>
          <w:rFonts w:ascii="Times New Roman" w:eastAsia="宋体" w:hAnsi="Times New Roman" w:cs="Times New Roman" w:hint="eastAsia"/>
          <w:sz w:val="24"/>
          <w:szCs w:val="24"/>
        </w:rPr>
        <w:t>，</w:t>
      </w:r>
      <w:r w:rsidRPr="00EB144D">
        <w:rPr>
          <w:rFonts w:ascii="Times New Roman" w:eastAsia="宋体" w:hAnsi="Times New Roman" w:cs="Times New Roman"/>
          <w:sz w:val="24"/>
          <w:szCs w:val="24"/>
        </w:rPr>
        <w:t>2024</w:t>
      </w:r>
      <w:r w:rsidRPr="00EB144D">
        <w:rPr>
          <w:rFonts w:ascii="Times New Roman" w:eastAsia="宋体" w:hAnsi="Times New Roman" w:cs="Times New Roman" w:hint="eastAsia"/>
          <w:sz w:val="24"/>
          <w:szCs w:val="24"/>
        </w:rPr>
        <w:t>b</w:t>
      </w:r>
      <w:r w:rsidR="00BD3441">
        <w:rPr>
          <w:rFonts w:ascii="Times New Roman" w:eastAsia="宋体" w:hAnsi="Times New Roman" w:cs="Times New Roman" w:hint="eastAsia"/>
          <w:sz w:val="24"/>
          <w:szCs w:val="24"/>
        </w:rPr>
        <w:t>,</w:t>
      </w:r>
      <w:r w:rsidRPr="00EB144D">
        <w:rPr>
          <w:rFonts w:ascii="Times New Roman" w:eastAsia="宋体" w:hAnsi="Times New Roman" w:cs="Times New Roman"/>
          <w:sz w:val="24"/>
          <w:szCs w:val="24"/>
        </w:rPr>
        <w:t>《中国特色金融发展道路的新成就与新探索》，《中国金融》，第</w:t>
      </w:r>
      <w:r w:rsidRPr="00EB144D">
        <w:rPr>
          <w:rFonts w:ascii="Times New Roman" w:eastAsia="宋体" w:hAnsi="Times New Roman" w:cs="Times New Roman"/>
          <w:sz w:val="24"/>
          <w:szCs w:val="24"/>
        </w:rPr>
        <w:t>19</w:t>
      </w:r>
      <w:r w:rsidRPr="00EB144D">
        <w:rPr>
          <w:rFonts w:ascii="Times New Roman" w:eastAsia="宋体" w:hAnsi="Times New Roman" w:cs="Times New Roman"/>
          <w:sz w:val="24"/>
          <w:szCs w:val="24"/>
        </w:rPr>
        <w:t>期。</w:t>
      </w:r>
    </w:p>
    <w:p w14:paraId="48BDA236" w14:textId="3D5DAB0E" w:rsidR="00E46090" w:rsidRPr="00EB144D" w:rsidRDefault="00E46090" w:rsidP="003411E5">
      <w:pPr>
        <w:adjustRightInd w:val="0"/>
        <w:snapToGrid w:val="0"/>
        <w:spacing w:before="100" w:beforeAutospacing="1" w:after="100" w:afterAutospacing="1"/>
        <w:ind w:left="480" w:hangingChars="200" w:hanging="480"/>
        <w:contextualSpacing/>
        <w:rPr>
          <w:rFonts w:ascii="Times New Roman" w:eastAsia="宋体" w:hAnsi="Times New Roman" w:cs="Times New Roman"/>
          <w:color w:val="000000" w:themeColor="text1"/>
          <w:sz w:val="24"/>
          <w:szCs w:val="24"/>
        </w:rPr>
      </w:pPr>
      <w:r w:rsidRPr="00EB144D">
        <w:rPr>
          <w:rFonts w:ascii="Times New Roman" w:eastAsia="宋体" w:hAnsi="Times New Roman" w:cs="Times New Roman"/>
          <w:color w:val="000000" w:themeColor="text1"/>
          <w:sz w:val="24"/>
          <w:szCs w:val="24"/>
        </w:rPr>
        <w:t>张晓晶、董昀、李广子、李俊成</w:t>
      </w:r>
      <w:r w:rsidR="003411E5">
        <w:rPr>
          <w:rFonts w:ascii="Times New Roman" w:eastAsia="宋体" w:hAnsi="Times New Roman" w:cs="Times New Roman" w:hint="eastAsia"/>
          <w:sz w:val="24"/>
          <w:szCs w:val="24"/>
        </w:rPr>
        <w:t>，</w:t>
      </w:r>
      <w:r w:rsidRPr="00EB144D">
        <w:rPr>
          <w:rFonts w:ascii="Times New Roman" w:eastAsia="宋体" w:hAnsi="Times New Roman" w:cs="Times New Roman"/>
          <w:sz w:val="24"/>
          <w:szCs w:val="24"/>
        </w:rPr>
        <w:t>2024</w:t>
      </w:r>
      <w:r w:rsidR="00BD3441">
        <w:rPr>
          <w:rFonts w:ascii="Times New Roman" w:eastAsia="宋体" w:hAnsi="Times New Roman" w:cs="Times New Roman" w:hint="eastAsia"/>
          <w:color w:val="000000" w:themeColor="text1"/>
          <w:sz w:val="24"/>
          <w:szCs w:val="24"/>
        </w:rPr>
        <w:t>,</w:t>
      </w:r>
      <w:r w:rsidRPr="00EB144D">
        <w:rPr>
          <w:rFonts w:ascii="Times New Roman" w:eastAsia="宋体" w:hAnsi="Times New Roman" w:cs="Times New Roman"/>
          <w:color w:val="000000" w:themeColor="text1"/>
          <w:sz w:val="24"/>
          <w:szCs w:val="24"/>
        </w:rPr>
        <w:t>《中国特色金融发展之路的历史逻辑、理论逻辑和现实逻辑》，《金融评论》，第</w:t>
      </w:r>
      <w:r w:rsidRPr="00EB144D">
        <w:rPr>
          <w:rFonts w:ascii="Times New Roman" w:eastAsia="宋体" w:hAnsi="Times New Roman" w:cs="Times New Roman"/>
          <w:color w:val="000000" w:themeColor="text1"/>
          <w:sz w:val="24"/>
          <w:szCs w:val="24"/>
        </w:rPr>
        <w:t>1</w:t>
      </w:r>
      <w:r w:rsidRPr="00EB144D">
        <w:rPr>
          <w:rFonts w:ascii="Times New Roman" w:eastAsia="宋体" w:hAnsi="Times New Roman" w:cs="Times New Roman"/>
          <w:color w:val="000000" w:themeColor="text1"/>
          <w:sz w:val="24"/>
          <w:szCs w:val="24"/>
        </w:rPr>
        <w:t>期。</w:t>
      </w:r>
    </w:p>
    <w:p w14:paraId="57175882" w14:textId="121B055C" w:rsidR="00DF5BFE" w:rsidRPr="00EB144D" w:rsidRDefault="00DF5BFE" w:rsidP="003411E5">
      <w:pPr>
        <w:adjustRightInd w:val="0"/>
        <w:snapToGrid w:val="0"/>
        <w:spacing w:before="100" w:beforeAutospacing="1" w:after="100" w:afterAutospacing="1"/>
        <w:ind w:left="480" w:hangingChars="200" w:hanging="480"/>
        <w:contextualSpacing/>
        <w:rPr>
          <w:rFonts w:ascii="Times New Roman" w:eastAsia="宋体" w:hAnsi="Times New Roman" w:cs="Times New Roman"/>
          <w:sz w:val="24"/>
          <w:szCs w:val="24"/>
        </w:rPr>
      </w:pPr>
      <w:r w:rsidRPr="00EB144D">
        <w:rPr>
          <w:rFonts w:ascii="Times New Roman" w:eastAsia="宋体" w:hAnsi="Times New Roman" w:cs="Times New Roman"/>
          <w:sz w:val="24"/>
          <w:szCs w:val="24"/>
        </w:rPr>
        <w:t>Allen, F.</w:t>
      </w:r>
      <w:r w:rsidRPr="00EB144D">
        <w:rPr>
          <w:rFonts w:ascii="Times New Roman" w:eastAsia="宋体" w:hAnsi="Times New Roman" w:cs="Times New Roman" w:hint="eastAsia"/>
          <w:sz w:val="24"/>
          <w:szCs w:val="24"/>
        </w:rPr>
        <w:t>,</w:t>
      </w:r>
      <w:r w:rsidRPr="00EB144D">
        <w:rPr>
          <w:rFonts w:ascii="Times New Roman" w:eastAsia="宋体" w:hAnsi="Times New Roman" w:cs="Times New Roman"/>
          <w:sz w:val="24"/>
          <w:szCs w:val="24"/>
        </w:rPr>
        <w:t xml:space="preserve"> X. Gu, O. Kowalewski</w:t>
      </w:r>
      <w:r w:rsidR="003411E5">
        <w:rPr>
          <w:rFonts w:ascii="Times New Roman" w:eastAsia="宋体" w:hAnsi="Times New Roman" w:cs="Times New Roman" w:hint="eastAsia"/>
          <w:sz w:val="24"/>
          <w:szCs w:val="24"/>
        </w:rPr>
        <w:t>，</w:t>
      </w:r>
      <w:r w:rsidRPr="00EB144D">
        <w:rPr>
          <w:rFonts w:ascii="Times New Roman" w:eastAsia="宋体" w:hAnsi="Times New Roman" w:cs="Times New Roman"/>
          <w:sz w:val="24"/>
          <w:szCs w:val="24"/>
        </w:rPr>
        <w:t>2012</w:t>
      </w:r>
      <w:r w:rsidR="00BD3441">
        <w:rPr>
          <w:rFonts w:ascii="Times New Roman" w:eastAsia="宋体" w:hAnsi="Times New Roman" w:cs="Times New Roman" w:hint="eastAsia"/>
          <w:sz w:val="24"/>
          <w:szCs w:val="24"/>
        </w:rPr>
        <w:t>,</w:t>
      </w:r>
      <w:r w:rsidRPr="00EB144D">
        <w:rPr>
          <w:rFonts w:ascii="Times New Roman" w:eastAsia="宋体" w:hAnsi="Times New Roman" w:cs="Times New Roman"/>
          <w:sz w:val="24"/>
          <w:szCs w:val="24"/>
        </w:rPr>
        <w:t xml:space="preserve"> “Financial Crisis, Structure and Reform”, </w:t>
      </w:r>
      <w:r w:rsidRPr="00EB144D">
        <w:rPr>
          <w:rFonts w:ascii="Times New Roman" w:eastAsia="宋体" w:hAnsi="Times New Roman" w:cs="Times New Roman"/>
          <w:i/>
          <w:sz w:val="24"/>
          <w:szCs w:val="24"/>
        </w:rPr>
        <w:t xml:space="preserve">Journal of Banking </w:t>
      </w:r>
      <w:r w:rsidR="003411E5">
        <w:rPr>
          <w:rFonts w:ascii="Times New Roman" w:eastAsia="宋体" w:hAnsi="Times New Roman" w:cs="Times New Roman" w:hint="eastAsia"/>
          <w:i/>
          <w:sz w:val="24"/>
          <w:szCs w:val="24"/>
        </w:rPr>
        <w:t>and</w:t>
      </w:r>
      <w:r w:rsidRPr="00EB144D">
        <w:rPr>
          <w:rFonts w:ascii="Times New Roman" w:eastAsia="宋体" w:hAnsi="Times New Roman" w:cs="Times New Roman"/>
          <w:i/>
          <w:sz w:val="24"/>
          <w:szCs w:val="24"/>
        </w:rPr>
        <w:t xml:space="preserve"> Finance</w:t>
      </w:r>
      <w:r w:rsidRPr="00EB144D">
        <w:rPr>
          <w:rFonts w:ascii="Times New Roman" w:eastAsia="宋体" w:hAnsi="Times New Roman" w:cs="Times New Roman"/>
          <w:sz w:val="24"/>
          <w:szCs w:val="24"/>
        </w:rPr>
        <w:t>, 36</w:t>
      </w:r>
      <w:r w:rsidR="003411E5">
        <w:rPr>
          <w:rFonts w:ascii="Times New Roman" w:eastAsia="宋体" w:hAnsi="Times New Roman" w:cs="Times New Roman" w:hint="eastAsia"/>
          <w:sz w:val="24"/>
          <w:szCs w:val="24"/>
        </w:rPr>
        <w:t>(11)</w:t>
      </w:r>
      <w:r w:rsidRPr="00EB144D">
        <w:rPr>
          <w:rFonts w:ascii="Times New Roman" w:eastAsia="宋体" w:hAnsi="Times New Roman" w:cs="Times New Roman"/>
          <w:sz w:val="24"/>
          <w:szCs w:val="24"/>
        </w:rPr>
        <w:t>, 2960-2973.</w:t>
      </w:r>
    </w:p>
    <w:p w14:paraId="35AB5E73" w14:textId="76C75F48" w:rsidR="00DF5BFE" w:rsidRPr="00EB144D" w:rsidRDefault="00DF5BFE" w:rsidP="003411E5">
      <w:pPr>
        <w:widowControl/>
        <w:snapToGrid w:val="0"/>
        <w:ind w:left="480" w:hangingChars="200" w:hanging="480"/>
        <w:contextualSpacing/>
        <w:textAlignment w:val="center"/>
        <w:rPr>
          <w:rFonts w:ascii="Times New Roman" w:eastAsia="宋体" w:hAnsi="Times New Roman" w:cs="Times New Roman"/>
          <w:color w:val="000000" w:themeColor="text1"/>
          <w:sz w:val="24"/>
          <w:szCs w:val="24"/>
        </w:rPr>
      </w:pPr>
      <w:r w:rsidRPr="00EB144D">
        <w:rPr>
          <w:rFonts w:ascii="Times New Roman" w:eastAsia="宋体" w:hAnsi="Times New Roman" w:cs="Times New Roman"/>
          <w:color w:val="000000" w:themeColor="text1"/>
          <w:sz w:val="24"/>
          <w:szCs w:val="24"/>
        </w:rPr>
        <w:t>Caballero, R.</w:t>
      </w:r>
      <w:r w:rsidR="003411E5">
        <w:rPr>
          <w:rFonts w:ascii="Times New Roman" w:eastAsia="宋体" w:hAnsi="Times New Roman" w:cs="Times New Roman" w:hint="eastAsia"/>
          <w:color w:val="000000" w:themeColor="text1"/>
          <w:sz w:val="24"/>
          <w:szCs w:val="24"/>
        </w:rPr>
        <w:t>，</w:t>
      </w:r>
      <w:r w:rsidRPr="00EB144D">
        <w:rPr>
          <w:rFonts w:ascii="Times New Roman" w:eastAsia="宋体" w:hAnsi="Times New Roman" w:cs="Times New Roman" w:hint="eastAsia"/>
          <w:sz w:val="24"/>
          <w:szCs w:val="24"/>
        </w:rPr>
        <w:t>2</w:t>
      </w:r>
      <w:r w:rsidRPr="00EB144D">
        <w:rPr>
          <w:rFonts w:ascii="Times New Roman" w:eastAsia="宋体" w:hAnsi="Times New Roman" w:cs="Times New Roman"/>
          <w:sz w:val="24"/>
          <w:szCs w:val="24"/>
        </w:rPr>
        <w:t>006</w:t>
      </w:r>
      <w:r w:rsidR="00BD3441">
        <w:rPr>
          <w:rFonts w:ascii="Times New Roman" w:eastAsia="宋体" w:hAnsi="Times New Roman" w:cs="Times New Roman" w:hint="eastAsia"/>
          <w:color w:val="000000" w:themeColor="text1"/>
          <w:sz w:val="24"/>
          <w:szCs w:val="24"/>
        </w:rPr>
        <w:t>,</w:t>
      </w:r>
      <w:r w:rsidRPr="00EB144D">
        <w:rPr>
          <w:rFonts w:ascii="Times New Roman" w:eastAsia="宋体" w:hAnsi="Times New Roman" w:cs="Times New Roman"/>
          <w:color w:val="000000" w:themeColor="text1"/>
          <w:sz w:val="24"/>
          <w:szCs w:val="24"/>
        </w:rPr>
        <w:t xml:space="preserve"> “On the Macroeconomics of Asset Shortages.”, </w:t>
      </w:r>
      <w:r w:rsidRPr="00EB144D">
        <w:rPr>
          <w:rFonts w:ascii="Times New Roman" w:eastAsia="宋体" w:hAnsi="Times New Roman" w:cs="Times New Roman"/>
          <w:i/>
          <w:iCs/>
          <w:color w:val="000000" w:themeColor="text1"/>
          <w:sz w:val="24"/>
          <w:szCs w:val="24"/>
        </w:rPr>
        <w:t>NBER Working Paper</w:t>
      </w:r>
      <w:r w:rsidRPr="00EB144D">
        <w:rPr>
          <w:rFonts w:ascii="Times New Roman" w:eastAsia="宋体" w:hAnsi="Times New Roman" w:cs="Times New Roman"/>
          <w:color w:val="000000" w:themeColor="text1"/>
          <w:sz w:val="24"/>
          <w:szCs w:val="24"/>
        </w:rPr>
        <w:t>, No. w12753.</w:t>
      </w:r>
    </w:p>
    <w:p w14:paraId="0A5338D9" w14:textId="47E7792C" w:rsidR="00DF5BFE" w:rsidRPr="00EB144D" w:rsidRDefault="00DF5BFE" w:rsidP="003411E5">
      <w:pPr>
        <w:widowControl/>
        <w:snapToGrid w:val="0"/>
        <w:ind w:left="480" w:hangingChars="200" w:hanging="480"/>
        <w:contextualSpacing/>
        <w:textAlignment w:val="center"/>
        <w:rPr>
          <w:rFonts w:ascii="Times New Roman" w:eastAsia="宋体" w:hAnsi="Times New Roman" w:cs="Times New Roman"/>
          <w:color w:val="000000" w:themeColor="text1"/>
          <w:sz w:val="24"/>
          <w:szCs w:val="24"/>
        </w:rPr>
      </w:pPr>
      <w:r w:rsidRPr="00EB144D">
        <w:rPr>
          <w:rFonts w:ascii="Times New Roman" w:eastAsia="宋体" w:hAnsi="Times New Roman" w:cs="Times New Roman"/>
          <w:color w:val="000000" w:themeColor="text1"/>
          <w:sz w:val="24"/>
          <w:szCs w:val="24"/>
        </w:rPr>
        <w:t xml:space="preserve">Krishnamurthy, A. and </w:t>
      </w:r>
      <w:r w:rsidRPr="00EB144D">
        <w:rPr>
          <w:rFonts w:ascii="Times New Roman" w:eastAsia="宋体" w:hAnsi="Times New Roman" w:cs="Times New Roman" w:hint="eastAsia"/>
          <w:color w:val="000000" w:themeColor="text1"/>
          <w:sz w:val="24"/>
          <w:szCs w:val="24"/>
        </w:rPr>
        <w:t xml:space="preserve">A. </w:t>
      </w:r>
      <w:r w:rsidRPr="00EB144D">
        <w:rPr>
          <w:rFonts w:ascii="Times New Roman" w:eastAsia="宋体" w:hAnsi="Times New Roman" w:cs="Times New Roman"/>
          <w:color w:val="000000" w:themeColor="text1"/>
          <w:sz w:val="24"/>
          <w:szCs w:val="24"/>
        </w:rPr>
        <w:t>Vissing-Jorgensen</w:t>
      </w:r>
      <w:r w:rsidR="003411E5">
        <w:rPr>
          <w:rFonts w:ascii="Times New Roman" w:eastAsia="宋体" w:hAnsi="Times New Roman" w:cs="Times New Roman" w:hint="eastAsia"/>
          <w:color w:val="000000" w:themeColor="text1"/>
          <w:sz w:val="24"/>
          <w:szCs w:val="24"/>
        </w:rPr>
        <w:t>，</w:t>
      </w:r>
      <w:r w:rsidRPr="00EB144D">
        <w:rPr>
          <w:rFonts w:ascii="Times New Roman" w:eastAsia="宋体" w:hAnsi="Times New Roman" w:cs="Times New Roman" w:hint="eastAsia"/>
          <w:sz w:val="24"/>
          <w:szCs w:val="24"/>
        </w:rPr>
        <w:t>2</w:t>
      </w:r>
      <w:r w:rsidRPr="00EB144D">
        <w:rPr>
          <w:rFonts w:ascii="Times New Roman" w:eastAsia="宋体" w:hAnsi="Times New Roman" w:cs="Times New Roman"/>
          <w:sz w:val="24"/>
          <w:szCs w:val="24"/>
        </w:rPr>
        <w:t>0</w:t>
      </w:r>
      <w:r w:rsidRPr="00EB144D">
        <w:rPr>
          <w:rFonts w:ascii="Times New Roman" w:eastAsia="宋体" w:hAnsi="Times New Roman" w:cs="Times New Roman" w:hint="eastAsia"/>
          <w:sz w:val="24"/>
          <w:szCs w:val="24"/>
        </w:rPr>
        <w:t>12</w:t>
      </w:r>
      <w:r w:rsidR="00BD3441">
        <w:rPr>
          <w:rFonts w:ascii="Times New Roman" w:eastAsia="宋体" w:hAnsi="Times New Roman" w:cs="Times New Roman" w:hint="eastAsia"/>
          <w:color w:val="000000" w:themeColor="text1"/>
          <w:sz w:val="24"/>
          <w:szCs w:val="24"/>
        </w:rPr>
        <w:t>,</w:t>
      </w:r>
      <w:r w:rsidRPr="00EB144D">
        <w:rPr>
          <w:rFonts w:ascii="Times New Roman" w:eastAsia="宋体" w:hAnsi="Times New Roman" w:cs="Times New Roman"/>
          <w:color w:val="000000" w:themeColor="text1"/>
          <w:sz w:val="24"/>
          <w:szCs w:val="24"/>
        </w:rPr>
        <w:t xml:space="preserve"> “The Aggregate Demand for Treasury Debt”, </w:t>
      </w:r>
      <w:r w:rsidRPr="00EB144D">
        <w:rPr>
          <w:rFonts w:ascii="Times New Roman" w:eastAsia="宋体" w:hAnsi="Times New Roman" w:cs="Times New Roman"/>
          <w:i/>
          <w:color w:val="000000" w:themeColor="text1"/>
          <w:sz w:val="24"/>
          <w:szCs w:val="24"/>
        </w:rPr>
        <w:t>Journal of Political Economy</w:t>
      </w:r>
      <w:r w:rsidRPr="00EB144D">
        <w:rPr>
          <w:rFonts w:ascii="Times New Roman" w:eastAsia="宋体" w:hAnsi="Times New Roman" w:cs="Times New Roman"/>
          <w:color w:val="000000" w:themeColor="text1"/>
          <w:sz w:val="24"/>
          <w:szCs w:val="24"/>
        </w:rPr>
        <w:t xml:space="preserve">, </w:t>
      </w:r>
      <w:r w:rsidRPr="00EB144D">
        <w:rPr>
          <w:rFonts w:ascii="Times New Roman" w:eastAsia="宋体" w:hAnsi="Times New Roman" w:cs="Times New Roman" w:hint="eastAsia"/>
          <w:color w:val="000000" w:themeColor="text1"/>
          <w:sz w:val="24"/>
          <w:szCs w:val="24"/>
        </w:rPr>
        <w:t>1</w:t>
      </w:r>
      <w:r w:rsidRPr="00EB144D">
        <w:rPr>
          <w:rFonts w:ascii="Times New Roman" w:eastAsia="宋体" w:hAnsi="Times New Roman" w:cs="Times New Roman"/>
          <w:color w:val="000000" w:themeColor="text1"/>
          <w:sz w:val="24"/>
          <w:szCs w:val="24"/>
        </w:rPr>
        <w:t>20</w:t>
      </w:r>
      <w:r w:rsidR="003411E5">
        <w:rPr>
          <w:rFonts w:ascii="Times New Roman" w:eastAsia="宋体" w:hAnsi="Times New Roman" w:cs="Times New Roman" w:hint="eastAsia"/>
          <w:color w:val="000000" w:themeColor="text1"/>
          <w:sz w:val="24"/>
          <w:szCs w:val="24"/>
        </w:rPr>
        <w:t>(2)</w:t>
      </w:r>
      <w:r w:rsidRPr="00EB144D">
        <w:rPr>
          <w:rFonts w:ascii="Times New Roman" w:eastAsia="宋体" w:hAnsi="Times New Roman" w:cs="Times New Roman"/>
          <w:color w:val="000000" w:themeColor="text1"/>
          <w:sz w:val="24"/>
          <w:szCs w:val="24"/>
        </w:rPr>
        <w:t>, 233–267.</w:t>
      </w:r>
    </w:p>
    <w:p w14:paraId="35B892DB" w14:textId="42FFCE28" w:rsidR="00DF5BFE" w:rsidRPr="00EB144D" w:rsidRDefault="00DF5BFE" w:rsidP="003411E5">
      <w:pPr>
        <w:adjustRightInd w:val="0"/>
        <w:snapToGrid w:val="0"/>
        <w:spacing w:before="100" w:beforeAutospacing="1" w:after="100" w:afterAutospacing="1"/>
        <w:ind w:left="480" w:hangingChars="200" w:hanging="480"/>
        <w:contextualSpacing/>
        <w:rPr>
          <w:rFonts w:ascii="Times New Roman" w:eastAsia="宋体" w:hAnsi="Times New Roman" w:cs="Times New Roman"/>
          <w:sz w:val="24"/>
          <w:szCs w:val="24"/>
        </w:rPr>
      </w:pPr>
      <w:r w:rsidRPr="00EB144D">
        <w:rPr>
          <w:rFonts w:ascii="Times New Roman" w:eastAsia="宋体" w:hAnsi="Times New Roman" w:cs="Times New Roman"/>
          <w:sz w:val="24"/>
          <w:szCs w:val="24"/>
        </w:rPr>
        <w:t>Mead, W.</w:t>
      </w:r>
      <w:r w:rsidR="003411E5">
        <w:rPr>
          <w:rFonts w:ascii="Times New Roman" w:eastAsia="宋体" w:hAnsi="Times New Roman" w:cs="Times New Roman" w:hint="eastAsia"/>
          <w:sz w:val="24"/>
          <w:szCs w:val="24"/>
        </w:rPr>
        <w:t>，</w:t>
      </w:r>
      <w:r w:rsidRPr="00EB144D">
        <w:rPr>
          <w:rFonts w:ascii="Times New Roman" w:eastAsia="宋体" w:hAnsi="Times New Roman" w:cs="Times New Roman"/>
          <w:sz w:val="24"/>
          <w:szCs w:val="24"/>
        </w:rPr>
        <w:t>2004</w:t>
      </w:r>
      <w:r w:rsidR="00BD3441">
        <w:rPr>
          <w:rFonts w:ascii="Times New Roman" w:eastAsia="宋体" w:hAnsi="Times New Roman" w:cs="Times New Roman" w:hint="eastAsia"/>
          <w:sz w:val="24"/>
          <w:szCs w:val="24"/>
        </w:rPr>
        <w:t>,</w:t>
      </w:r>
      <w:r w:rsidRPr="00EB144D">
        <w:rPr>
          <w:rFonts w:ascii="Times New Roman" w:eastAsia="宋体" w:hAnsi="Times New Roman" w:cs="Times New Roman"/>
          <w:sz w:val="24"/>
          <w:szCs w:val="24"/>
        </w:rPr>
        <w:t xml:space="preserve"> “America’s Sticky Power</w:t>
      </w:r>
      <w:r w:rsidRPr="00EB144D">
        <w:rPr>
          <w:rFonts w:ascii="Times New Roman" w:eastAsia="宋体" w:hAnsi="Times New Roman" w:cs="Times New Roman" w:hint="eastAsia"/>
          <w:sz w:val="24"/>
          <w:szCs w:val="24"/>
        </w:rPr>
        <w:t xml:space="preserve">: </w:t>
      </w:r>
      <w:r w:rsidRPr="00EB144D">
        <w:rPr>
          <w:rFonts w:ascii="Times New Roman" w:eastAsia="宋体" w:hAnsi="Times New Roman" w:cs="Times New Roman"/>
          <w:sz w:val="24"/>
          <w:szCs w:val="24"/>
        </w:rPr>
        <w:t>Thinking Differently About U.S. Hegemony”</w:t>
      </w:r>
      <w:r w:rsidRPr="00EB144D">
        <w:rPr>
          <w:rFonts w:ascii="Times New Roman" w:eastAsia="宋体" w:hAnsi="Times New Roman" w:cs="Times New Roman" w:hint="eastAsia"/>
          <w:sz w:val="24"/>
          <w:szCs w:val="24"/>
        </w:rPr>
        <w:t>,</w:t>
      </w:r>
      <w:r w:rsidRPr="00EB144D">
        <w:rPr>
          <w:rFonts w:ascii="Times New Roman" w:eastAsia="宋体" w:hAnsi="Times New Roman" w:cs="Times New Roman"/>
          <w:sz w:val="24"/>
          <w:szCs w:val="24"/>
        </w:rPr>
        <w:t xml:space="preserve"> </w:t>
      </w:r>
      <w:r w:rsidRPr="00EB144D">
        <w:rPr>
          <w:rFonts w:ascii="Times New Roman" w:eastAsia="宋体" w:hAnsi="Times New Roman" w:cs="Times New Roman"/>
          <w:i/>
          <w:iCs/>
          <w:sz w:val="24"/>
          <w:szCs w:val="24"/>
        </w:rPr>
        <w:t>Foreign Policy</w:t>
      </w:r>
      <w:r w:rsidRPr="00EB144D">
        <w:rPr>
          <w:rFonts w:ascii="Times New Roman" w:eastAsia="宋体" w:hAnsi="Times New Roman" w:cs="Times New Roman"/>
          <w:sz w:val="24"/>
          <w:szCs w:val="24"/>
        </w:rPr>
        <w:t>, 14</w:t>
      </w:r>
      <w:r w:rsidR="00431963">
        <w:rPr>
          <w:rFonts w:ascii="Times New Roman" w:eastAsia="宋体" w:hAnsi="Times New Roman" w:cs="Times New Roman" w:hint="eastAsia"/>
          <w:sz w:val="24"/>
          <w:szCs w:val="24"/>
        </w:rPr>
        <w:t>1</w:t>
      </w:r>
      <w:r w:rsidRPr="00EB144D">
        <w:rPr>
          <w:rFonts w:ascii="Times New Roman" w:eastAsia="宋体" w:hAnsi="Times New Roman" w:cs="Times New Roman" w:hint="eastAsia"/>
          <w:sz w:val="24"/>
          <w:szCs w:val="24"/>
        </w:rPr>
        <w:t>,</w:t>
      </w:r>
      <w:r w:rsidRPr="00EB144D">
        <w:rPr>
          <w:rFonts w:ascii="Times New Roman" w:eastAsia="宋体" w:hAnsi="Times New Roman" w:cs="Times New Roman"/>
          <w:sz w:val="24"/>
          <w:szCs w:val="24"/>
        </w:rPr>
        <w:t xml:space="preserve"> 46-53.</w:t>
      </w:r>
    </w:p>
    <w:p w14:paraId="04E6B3FA" w14:textId="1EE7F833" w:rsidR="00DF5BFE" w:rsidRPr="00EB144D" w:rsidRDefault="00DF5BFE" w:rsidP="003411E5">
      <w:pPr>
        <w:adjustRightInd w:val="0"/>
        <w:snapToGrid w:val="0"/>
        <w:spacing w:before="100" w:beforeAutospacing="1" w:after="100" w:afterAutospacing="1"/>
        <w:ind w:left="480" w:hangingChars="200" w:hanging="480"/>
        <w:contextualSpacing/>
        <w:rPr>
          <w:rFonts w:ascii="Times New Roman" w:eastAsia="宋体" w:hAnsi="Times New Roman" w:cs="Times New Roman"/>
          <w:sz w:val="24"/>
          <w:szCs w:val="24"/>
        </w:rPr>
      </w:pPr>
      <w:r w:rsidRPr="00EB144D">
        <w:rPr>
          <w:rFonts w:ascii="Times New Roman" w:eastAsia="宋体" w:hAnsi="Times New Roman" w:cs="Times New Roman"/>
          <w:sz w:val="24"/>
          <w:szCs w:val="24"/>
        </w:rPr>
        <w:t>Steil</w:t>
      </w:r>
      <w:r w:rsidRPr="00EB144D">
        <w:rPr>
          <w:rFonts w:ascii="Times New Roman" w:eastAsia="宋体" w:hAnsi="Times New Roman" w:cs="Times New Roman"/>
          <w:sz w:val="24"/>
          <w:szCs w:val="24"/>
        </w:rPr>
        <w:t>，</w:t>
      </w:r>
      <w:r w:rsidRPr="00EB144D">
        <w:rPr>
          <w:rFonts w:ascii="Times New Roman" w:eastAsia="宋体" w:hAnsi="Times New Roman" w:cs="Times New Roman"/>
          <w:sz w:val="24"/>
          <w:szCs w:val="24"/>
        </w:rPr>
        <w:t>B. and R.</w:t>
      </w:r>
      <w:r w:rsidRPr="00EB144D">
        <w:rPr>
          <w:rFonts w:ascii="Times New Roman" w:eastAsia="宋体" w:hAnsi="Times New Roman" w:cs="Times New Roman" w:hint="eastAsia"/>
          <w:sz w:val="24"/>
          <w:szCs w:val="24"/>
        </w:rPr>
        <w:t xml:space="preserve"> </w:t>
      </w:r>
      <w:r w:rsidRPr="00EB144D">
        <w:rPr>
          <w:rFonts w:ascii="Times New Roman" w:eastAsia="宋体" w:hAnsi="Times New Roman" w:cs="Times New Roman"/>
          <w:sz w:val="24"/>
          <w:szCs w:val="24"/>
        </w:rPr>
        <w:t>Litan</w:t>
      </w:r>
      <w:r w:rsidR="003411E5">
        <w:rPr>
          <w:rFonts w:ascii="Times New Roman" w:eastAsia="宋体" w:hAnsi="Times New Roman" w:cs="Times New Roman" w:hint="eastAsia"/>
          <w:sz w:val="24"/>
          <w:szCs w:val="24"/>
        </w:rPr>
        <w:t>，</w:t>
      </w:r>
      <w:r w:rsidRPr="00EB144D">
        <w:rPr>
          <w:rFonts w:ascii="Times New Roman" w:eastAsia="宋体" w:hAnsi="Times New Roman" w:cs="Times New Roman" w:hint="eastAsia"/>
          <w:sz w:val="24"/>
          <w:szCs w:val="24"/>
        </w:rPr>
        <w:t>2</w:t>
      </w:r>
      <w:r w:rsidRPr="00EB144D">
        <w:rPr>
          <w:rFonts w:ascii="Times New Roman" w:eastAsia="宋体" w:hAnsi="Times New Roman" w:cs="Times New Roman"/>
          <w:sz w:val="24"/>
          <w:szCs w:val="24"/>
        </w:rPr>
        <w:t>006</w:t>
      </w:r>
      <w:r w:rsidR="00BD3441">
        <w:rPr>
          <w:rFonts w:ascii="Times New Roman" w:eastAsia="宋体" w:hAnsi="Times New Roman" w:cs="Times New Roman" w:hint="eastAsia"/>
          <w:sz w:val="24"/>
          <w:szCs w:val="24"/>
        </w:rPr>
        <w:t xml:space="preserve">, </w:t>
      </w:r>
      <w:r w:rsidRPr="00EB144D">
        <w:rPr>
          <w:rFonts w:ascii="Times New Roman" w:eastAsia="宋体" w:hAnsi="Times New Roman" w:cs="Times New Roman"/>
          <w:i/>
          <w:iCs/>
          <w:sz w:val="24"/>
          <w:szCs w:val="24"/>
        </w:rPr>
        <w:t>Financial Statecraft: The Role of Financial Markets in American Foreign Policy</w:t>
      </w:r>
      <w:r w:rsidRPr="00EB144D">
        <w:rPr>
          <w:rFonts w:ascii="Times New Roman" w:eastAsia="宋体" w:hAnsi="Times New Roman" w:cs="Times New Roman"/>
          <w:sz w:val="24"/>
          <w:szCs w:val="24"/>
        </w:rPr>
        <w:t>，</w:t>
      </w:r>
      <w:r w:rsidRPr="00EB144D">
        <w:rPr>
          <w:rFonts w:ascii="Times New Roman" w:eastAsia="宋体" w:hAnsi="Times New Roman" w:cs="Times New Roman"/>
          <w:sz w:val="24"/>
          <w:szCs w:val="24"/>
        </w:rPr>
        <w:t>Yale University Press.</w:t>
      </w:r>
    </w:p>
    <w:p w14:paraId="59CAF0F6" w14:textId="77777777" w:rsidR="00EC20BF" w:rsidRPr="00EB144D" w:rsidRDefault="00EC20BF" w:rsidP="00313126">
      <w:pPr>
        <w:widowControl/>
        <w:snapToGrid w:val="0"/>
        <w:ind w:firstLineChars="200" w:firstLine="480"/>
        <w:contextualSpacing/>
        <w:textAlignment w:val="center"/>
        <w:rPr>
          <w:rFonts w:ascii="Times New Roman" w:eastAsia="宋体" w:hAnsi="Times New Roman" w:cs="Times New Roman"/>
          <w:color w:val="000000" w:themeColor="text1"/>
          <w:sz w:val="24"/>
          <w:szCs w:val="24"/>
        </w:rPr>
      </w:pPr>
    </w:p>
    <w:p w14:paraId="7AD88534" w14:textId="75E65377" w:rsidR="00901375" w:rsidRDefault="00901375" w:rsidP="00CE2E04">
      <w:pPr>
        <w:widowControl/>
        <w:snapToGrid w:val="0"/>
        <w:ind w:firstLineChars="200" w:firstLine="640"/>
        <w:contextualSpacing/>
        <w:jc w:val="right"/>
        <w:textAlignment w:val="center"/>
        <w:rPr>
          <w:rFonts w:ascii="Times New Roman" w:eastAsia="宋体" w:hAnsi="Times New Roman" w:cs="Times New Roman"/>
          <w:color w:val="000000" w:themeColor="text1"/>
          <w:sz w:val="32"/>
          <w:szCs w:val="32"/>
        </w:rPr>
      </w:pPr>
    </w:p>
    <w:sectPr w:rsidR="00901375">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F7FB9" w14:textId="77777777" w:rsidR="000D017A" w:rsidRDefault="000D017A">
      <w:r>
        <w:separator/>
      </w:r>
    </w:p>
  </w:endnote>
  <w:endnote w:type="continuationSeparator" w:id="0">
    <w:p w14:paraId="27A627CD" w14:textId="77777777" w:rsidR="000D017A" w:rsidRDefault="000D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9C458" w14:textId="77777777" w:rsidR="000D017A" w:rsidRDefault="000D017A">
      <w:r>
        <w:separator/>
      </w:r>
    </w:p>
  </w:footnote>
  <w:footnote w:type="continuationSeparator" w:id="0">
    <w:p w14:paraId="6EA04130" w14:textId="77777777" w:rsidR="000D017A" w:rsidRDefault="000D017A">
      <w:r>
        <w:continuationSeparator/>
      </w:r>
    </w:p>
  </w:footnote>
  <w:footnote w:id="1">
    <w:p w14:paraId="083083FF" w14:textId="216E191A" w:rsidR="00F9628A" w:rsidRPr="00F9628A" w:rsidRDefault="00F9628A" w:rsidP="00F9628A">
      <w:pPr>
        <w:pStyle w:val="a8"/>
        <w:ind w:firstLineChars="200" w:firstLine="360"/>
      </w:pPr>
      <w:r>
        <w:rPr>
          <w:rStyle w:val="ab"/>
        </w:rPr>
        <w:footnoteRef/>
      </w:r>
      <w:r>
        <w:t xml:space="preserve"> </w:t>
      </w:r>
      <w:r>
        <w:rPr>
          <w:rFonts w:hint="eastAsia"/>
        </w:rPr>
        <w:t>本文刊发于《金融评论》</w:t>
      </w:r>
      <w:r>
        <w:rPr>
          <w:rFonts w:hint="eastAsia"/>
        </w:rPr>
        <w:t>2025</w:t>
      </w:r>
      <w:r>
        <w:rPr>
          <w:rFonts w:hint="eastAsia"/>
        </w:rPr>
        <w:t>年第</w:t>
      </w:r>
      <w:r>
        <w:rPr>
          <w:rFonts w:hint="eastAsia"/>
        </w:rPr>
        <w:t>1</w:t>
      </w:r>
      <w:r>
        <w:rPr>
          <w:rFonts w:hint="eastAsia"/>
        </w:rPr>
        <w:t>期。</w:t>
      </w:r>
    </w:p>
  </w:footnote>
  <w:footnote w:id="2">
    <w:p w14:paraId="10EBDC01" w14:textId="094F1FF1" w:rsidR="00F9628A" w:rsidRPr="00F9628A" w:rsidRDefault="00F9628A" w:rsidP="00F9628A">
      <w:pPr>
        <w:pStyle w:val="a8"/>
        <w:ind w:firstLineChars="200" w:firstLine="360"/>
      </w:pPr>
      <w:r>
        <w:rPr>
          <w:rStyle w:val="ab"/>
        </w:rPr>
        <w:footnoteRef/>
      </w:r>
      <w:r>
        <w:t xml:space="preserve"> </w:t>
      </w:r>
      <w:proofErr w:type="gramStart"/>
      <w:r>
        <w:rPr>
          <w:rFonts w:ascii="Times New Roman" w:eastAsia="宋体" w:hAnsi="Times New Roman" w:hint="eastAsia"/>
        </w:rPr>
        <w:t>郑联盛</w:t>
      </w:r>
      <w:proofErr w:type="gramEnd"/>
      <w:r>
        <w:rPr>
          <w:rFonts w:ascii="Times New Roman" w:eastAsia="宋体" w:hAnsi="Times New Roman" w:hint="eastAsia"/>
        </w:rPr>
        <w:t>，中国社会科学院，研究员，经济学博士；范云朋，</w:t>
      </w:r>
      <w:r>
        <w:rPr>
          <w:rFonts w:ascii="Times New Roman" w:eastAsia="宋体" w:hAnsi="Times New Roman"/>
        </w:rPr>
        <w:t>中国社会科学院金融研究所</w:t>
      </w:r>
      <w:r>
        <w:rPr>
          <w:rFonts w:ascii="Times New Roman" w:eastAsia="宋体" w:hAnsi="Times New Roman" w:hint="eastAsia"/>
        </w:rPr>
        <w:t>，副</w:t>
      </w:r>
      <w:r>
        <w:rPr>
          <w:rFonts w:ascii="Times New Roman" w:eastAsia="宋体" w:hAnsi="Times New Roman"/>
        </w:rPr>
        <w:t>研究员</w:t>
      </w:r>
      <w:r>
        <w:rPr>
          <w:rFonts w:ascii="Times New Roman" w:eastAsia="宋体" w:hAnsi="Times New Roman" w:hint="eastAsia"/>
        </w:rPr>
        <w:t>，经济学博士；江振龙，</w:t>
      </w:r>
      <w:r>
        <w:rPr>
          <w:rFonts w:ascii="Times New Roman" w:eastAsia="宋体" w:hAnsi="Times New Roman"/>
        </w:rPr>
        <w:t>中国社会科学院金融研究所</w:t>
      </w:r>
      <w:r>
        <w:rPr>
          <w:rFonts w:ascii="Times New Roman" w:eastAsia="宋体" w:hAnsi="Times New Roman" w:hint="eastAsia"/>
        </w:rPr>
        <w:t>，助理</w:t>
      </w:r>
      <w:r>
        <w:rPr>
          <w:rFonts w:ascii="Times New Roman" w:eastAsia="宋体" w:hAnsi="Times New Roman"/>
        </w:rPr>
        <w:t>研究员</w:t>
      </w:r>
      <w:r>
        <w:rPr>
          <w:rFonts w:ascii="Times New Roman" w:eastAsia="宋体" w:hAnsi="Times New Roman" w:hint="eastAsia"/>
        </w:rPr>
        <w:t>，经济学博士；王瑶，</w:t>
      </w:r>
      <w:r>
        <w:rPr>
          <w:rFonts w:ascii="Times New Roman" w:eastAsia="宋体" w:hAnsi="Times New Roman"/>
        </w:rPr>
        <w:t>中国社会科学院金融研究所</w:t>
      </w:r>
      <w:r>
        <w:rPr>
          <w:rFonts w:ascii="Times New Roman" w:eastAsia="宋体" w:hAnsi="Times New Roman" w:hint="eastAsia"/>
        </w:rPr>
        <w:t>，博士后，经济学博士；张鹏，</w:t>
      </w:r>
      <w:r>
        <w:rPr>
          <w:rFonts w:ascii="Times New Roman" w:eastAsia="宋体" w:hAnsi="Times New Roman"/>
        </w:rPr>
        <w:t>中国社会科学院金融研究所</w:t>
      </w:r>
      <w:r>
        <w:rPr>
          <w:rFonts w:ascii="Times New Roman" w:eastAsia="宋体" w:hAnsi="Times New Roman" w:hint="eastAsia"/>
        </w:rPr>
        <w:t>，博士后，经济学博士</w:t>
      </w:r>
      <w:r>
        <w:rPr>
          <w:rFonts w:ascii="Times New Roman" w:eastAsia="宋体" w:hAnsi="Times New Roman"/>
        </w:rPr>
        <w:t>。</w:t>
      </w:r>
      <w:r>
        <w:rPr>
          <w:rFonts w:ascii="Times New Roman" w:eastAsia="宋体" w:hAnsi="Times New Roman" w:hint="eastAsia"/>
        </w:rPr>
        <w:t>本文为中国社会科学院金融研究所《中国金融报告</w:t>
      </w:r>
      <w:r>
        <w:rPr>
          <w:rFonts w:ascii="Times New Roman" w:eastAsia="宋体" w:hAnsi="Times New Roman" w:hint="eastAsia"/>
        </w:rPr>
        <w:t>2024</w:t>
      </w:r>
      <w:r>
        <w:rPr>
          <w:rFonts w:ascii="Times New Roman" w:eastAsia="宋体" w:hAnsi="Times New Roman" w:hint="eastAsia"/>
        </w:rPr>
        <w:t>》主报告的核心内容，获中国社会科学院学科建设“登峰战略”资助计划优势学科“金融与发展”</w:t>
      </w:r>
      <w:r w:rsidRPr="00E132A3">
        <w:rPr>
          <w:rFonts w:ascii="宋体" w:eastAsia="宋体" w:hAnsi="宋体" w:hint="eastAsia"/>
        </w:rPr>
        <w:t>(</w:t>
      </w:r>
      <w:r w:rsidRPr="00D002FC">
        <w:rPr>
          <w:rFonts w:ascii="Times New Roman" w:eastAsia="宋体" w:hAnsi="Times New Roman" w:cs="Times New Roman"/>
        </w:rPr>
        <w:t>DF2023YS28</w:t>
      </w:r>
      <w:r>
        <w:rPr>
          <w:rFonts w:ascii="宋体" w:eastAsia="宋体" w:hAnsi="宋体" w:hint="eastAsia"/>
        </w:rPr>
        <w:t>)资助。</w:t>
      </w:r>
      <w:r>
        <w:rPr>
          <w:rFonts w:ascii="Times New Roman" w:eastAsia="宋体" w:hAnsi="Times New Roman" w:hint="eastAsia"/>
        </w:rPr>
        <w:t>作者感谢张晓晶研究员和张明研究员的建设性意见。</w:t>
      </w:r>
    </w:p>
  </w:footnote>
  <w:footnote w:id="3">
    <w:p w14:paraId="2CF60D12" w14:textId="37A6D587" w:rsidR="00E215D5" w:rsidRPr="0034075F" w:rsidRDefault="00E215D5" w:rsidP="00263460">
      <w:pPr>
        <w:pStyle w:val="a8"/>
        <w:ind w:firstLineChars="200" w:firstLine="360"/>
        <w:jc w:val="both"/>
        <w:rPr>
          <w:rFonts w:ascii="Times New Roman" w:eastAsia="宋体" w:hAnsi="Times New Roman" w:cs="Times New Roman"/>
          <w:color w:val="000000" w:themeColor="text1"/>
        </w:rPr>
      </w:pPr>
      <w:r w:rsidRPr="0034075F">
        <w:rPr>
          <w:rStyle w:val="ab"/>
          <w:rFonts w:ascii="Times New Roman" w:eastAsia="宋体" w:hAnsi="Times New Roman" w:cs="Times New Roman"/>
          <w:color w:val="000000" w:themeColor="text1"/>
        </w:rPr>
        <w:footnoteRef/>
      </w:r>
      <w:r>
        <w:rPr>
          <w:rFonts w:ascii="Times New Roman" w:eastAsia="宋体" w:hAnsi="Times New Roman" w:cs="Times New Roman" w:hint="eastAsia"/>
          <w:color w:val="000000" w:themeColor="text1"/>
          <w:shd w:val="clear" w:color="auto" w:fill="FFFFFF"/>
        </w:rPr>
        <w:t xml:space="preserve"> </w:t>
      </w:r>
      <w:r w:rsidRPr="0034075F">
        <w:rPr>
          <w:rFonts w:ascii="Times New Roman" w:eastAsia="宋体" w:hAnsi="Times New Roman" w:cs="Times New Roman"/>
          <w:color w:val="000000" w:themeColor="text1"/>
          <w:shd w:val="clear" w:color="auto" w:fill="FFFFFF"/>
        </w:rPr>
        <w:t>即强大的货币、强大的中央银行、强大的金融机构、强大的国际金融中心、强大的金融监管、强大的金融人才队伍，后面简称为</w:t>
      </w:r>
      <w:r w:rsidRPr="00E0755A">
        <w:rPr>
          <w:rFonts w:ascii="宋体" w:eastAsia="宋体" w:hAnsi="宋体" w:cs="Times New Roman"/>
          <w:color w:val="000000" w:themeColor="text1"/>
          <w:shd w:val="clear" w:color="auto" w:fill="FFFFFF"/>
        </w:rPr>
        <w:t>“六个强大”</w:t>
      </w:r>
      <w:r w:rsidRPr="0034075F">
        <w:rPr>
          <w:rFonts w:ascii="Times New Roman" w:eastAsia="宋体" w:hAnsi="Times New Roman" w:cs="Times New Roman"/>
          <w:color w:val="000000" w:themeColor="text1"/>
          <w:shd w:val="clear" w:color="auto" w:fill="FFFFFF"/>
        </w:rPr>
        <w:t>。</w:t>
      </w:r>
    </w:p>
  </w:footnote>
  <w:footnote w:id="4">
    <w:p w14:paraId="02FBF4AF" w14:textId="023C5855" w:rsidR="00E215D5" w:rsidRDefault="00E215D5" w:rsidP="00263460">
      <w:pPr>
        <w:pStyle w:val="a8"/>
        <w:ind w:firstLineChars="200" w:firstLine="360"/>
        <w:jc w:val="both"/>
      </w:pPr>
      <w:r w:rsidRPr="0034075F">
        <w:rPr>
          <w:rStyle w:val="ab"/>
          <w:rFonts w:ascii="Times New Roman" w:eastAsia="宋体" w:hAnsi="Times New Roman" w:cs="Times New Roman"/>
          <w:color w:val="000000" w:themeColor="text1"/>
        </w:rPr>
        <w:footnoteRef/>
      </w:r>
      <w:r w:rsidRPr="0034075F">
        <w:rPr>
          <w:rFonts w:ascii="Times New Roman" w:eastAsia="宋体" w:hAnsi="Times New Roman" w:cs="Times New Roman"/>
          <w:color w:val="000000" w:themeColor="text1"/>
        </w:rPr>
        <w:t xml:space="preserve"> </w:t>
      </w:r>
      <w:r w:rsidRPr="0034075F">
        <w:rPr>
          <w:rFonts w:ascii="Times New Roman" w:eastAsia="宋体" w:hAnsi="Times New Roman" w:cs="Times New Roman"/>
          <w:color w:val="000000" w:themeColor="text1"/>
        </w:rPr>
        <w:t>中央金融委员会</w:t>
      </w:r>
      <w:r>
        <w:rPr>
          <w:rFonts w:ascii="Times New Roman" w:eastAsia="宋体" w:hAnsi="Times New Roman" w:cs="Times New Roman" w:hint="eastAsia"/>
          <w:color w:val="000000" w:themeColor="text1"/>
        </w:rPr>
        <w:t>办公室</w:t>
      </w:r>
      <w:r w:rsidRPr="0034075F">
        <w:rPr>
          <w:rFonts w:ascii="Times New Roman" w:eastAsia="宋体" w:hAnsi="Times New Roman" w:cs="Times New Roman"/>
          <w:color w:val="000000" w:themeColor="text1"/>
        </w:rPr>
        <w:t>、中央金融工作委员会</w:t>
      </w:r>
      <w:r>
        <w:rPr>
          <w:rFonts w:ascii="Times New Roman" w:eastAsia="宋体" w:hAnsi="Times New Roman" w:cs="Times New Roman" w:hint="eastAsia"/>
          <w:color w:val="000000" w:themeColor="text1"/>
        </w:rPr>
        <w:t>：</w:t>
      </w:r>
      <w:r>
        <w:rPr>
          <w:rFonts w:ascii="宋体" w:eastAsia="宋体" w:hAnsi="宋体" w:cs="Times New Roman" w:hint="eastAsia"/>
          <w:color w:val="000000" w:themeColor="text1"/>
        </w:rPr>
        <w:t>《</w:t>
      </w:r>
      <w:r w:rsidRPr="003F3C75">
        <w:rPr>
          <w:rFonts w:ascii="宋体" w:eastAsia="宋体" w:hAnsi="宋体" w:cs="Times New Roman"/>
          <w:color w:val="000000" w:themeColor="text1"/>
        </w:rPr>
        <w:t>奋力开拓中国特色金融发展之路</w:t>
      </w:r>
      <w:r>
        <w:rPr>
          <w:rFonts w:ascii="宋体" w:eastAsia="宋体" w:hAnsi="宋体" w:cs="Times New Roman" w:hint="eastAsia"/>
          <w:color w:val="000000" w:themeColor="text1"/>
        </w:rPr>
        <w:t>》</w:t>
      </w:r>
      <w:r w:rsidRPr="0034075F">
        <w:rPr>
          <w:rFonts w:ascii="Times New Roman" w:eastAsia="宋体" w:hAnsi="Times New Roman" w:cs="Times New Roman"/>
          <w:color w:val="000000" w:themeColor="text1"/>
        </w:rPr>
        <w:t>，《学习时报》，</w:t>
      </w:r>
      <w:r w:rsidRPr="0034075F">
        <w:rPr>
          <w:rFonts w:ascii="Times New Roman" w:eastAsia="宋体" w:hAnsi="Times New Roman" w:cs="Times New Roman"/>
          <w:color w:val="000000" w:themeColor="text1"/>
        </w:rPr>
        <w:t>2024</w:t>
      </w:r>
      <w:r w:rsidRPr="0034075F">
        <w:rPr>
          <w:rFonts w:ascii="Times New Roman" w:eastAsia="宋体" w:hAnsi="Times New Roman" w:cs="Times New Roman"/>
          <w:color w:val="000000" w:themeColor="text1"/>
        </w:rPr>
        <w:t>年</w:t>
      </w:r>
      <w:r w:rsidRPr="0034075F">
        <w:rPr>
          <w:rFonts w:ascii="Times New Roman" w:eastAsia="宋体" w:hAnsi="Times New Roman" w:cs="Times New Roman"/>
          <w:color w:val="000000" w:themeColor="text1"/>
        </w:rPr>
        <w:t>4</w:t>
      </w:r>
      <w:r w:rsidRPr="0034075F">
        <w:rPr>
          <w:rFonts w:ascii="Times New Roman" w:eastAsia="宋体" w:hAnsi="Times New Roman" w:cs="Times New Roman"/>
          <w:color w:val="000000" w:themeColor="text1"/>
        </w:rPr>
        <w:t>月</w:t>
      </w:r>
      <w:r w:rsidRPr="0034075F">
        <w:rPr>
          <w:rFonts w:ascii="Times New Roman" w:eastAsia="宋体" w:hAnsi="Times New Roman" w:cs="Times New Roman"/>
          <w:color w:val="000000" w:themeColor="text1"/>
        </w:rPr>
        <w:t>3</w:t>
      </w:r>
      <w:r w:rsidRPr="0034075F">
        <w:rPr>
          <w:rFonts w:ascii="Times New Roman" w:eastAsia="宋体" w:hAnsi="Times New Roman" w:cs="Times New Roman"/>
          <w:color w:val="000000" w:themeColor="text1"/>
        </w:rPr>
        <w:t>日。</w:t>
      </w:r>
    </w:p>
  </w:footnote>
  <w:footnote w:id="5">
    <w:p w14:paraId="5945A61C" w14:textId="0BE02AC9" w:rsidR="00E215D5" w:rsidRPr="00754FE0" w:rsidRDefault="00E215D5" w:rsidP="006126F2">
      <w:pPr>
        <w:pStyle w:val="a8"/>
        <w:ind w:firstLineChars="200" w:firstLine="360"/>
        <w:jc w:val="both"/>
        <w:rPr>
          <w:rFonts w:ascii="Times New Roman" w:hAnsi="Times New Roman" w:cs="Times New Roman"/>
        </w:rPr>
      </w:pPr>
      <w:r w:rsidRPr="00754FE0">
        <w:rPr>
          <w:rStyle w:val="ab"/>
          <w:rFonts w:ascii="Times New Roman" w:hAnsi="Times New Roman" w:cs="Times New Roman"/>
        </w:rPr>
        <w:footnoteRef/>
      </w:r>
      <w:r w:rsidRPr="00754FE0">
        <w:rPr>
          <w:rFonts w:ascii="Times New Roman" w:hAnsi="Times New Roman" w:cs="Times New Roman"/>
        </w:rPr>
        <w:t xml:space="preserve"> The White House</w:t>
      </w:r>
      <w:r>
        <w:rPr>
          <w:rFonts w:ascii="Times New Roman" w:hAnsi="Times New Roman" w:cs="Times New Roman"/>
        </w:rPr>
        <w:t>: “</w:t>
      </w:r>
      <w:r w:rsidRPr="00754FE0">
        <w:rPr>
          <w:rFonts w:ascii="Times New Roman" w:hAnsi="Times New Roman" w:cs="Times New Roman"/>
        </w:rPr>
        <w:t>Strengthening American Leadership in Digital Financial Technology, Executive Order</w:t>
      </w:r>
      <w:r>
        <w:rPr>
          <w:rFonts w:ascii="Times New Roman" w:hAnsi="Times New Roman" w:cs="Times New Roman"/>
        </w:rPr>
        <w:t>”</w:t>
      </w:r>
      <w:r w:rsidRPr="00754FE0">
        <w:rPr>
          <w:rFonts w:ascii="Times New Roman" w:hAnsi="Times New Roman" w:cs="Times New Roman"/>
        </w:rPr>
        <w:t>, January 23</w:t>
      </w:r>
      <w:r>
        <w:rPr>
          <w:rFonts w:ascii="Times New Roman" w:hAnsi="Times New Roman" w:cs="Times New Roman"/>
        </w:rPr>
        <w:t xml:space="preserve">, </w:t>
      </w:r>
      <w:r w:rsidRPr="00754FE0">
        <w:rPr>
          <w:rFonts w:ascii="Times New Roman" w:hAnsi="Times New Roman" w:cs="Times New Roman"/>
        </w:rPr>
        <w:t>2025.</w:t>
      </w:r>
    </w:p>
  </w:footnote>
  <w:footnote w:id="6">
    <w:p w14:paraId="2363B54C" w14:textId="084A9367" w:rsidR="00E215D5" w:rsidRPr="002349C1" w:rsidRDefault="00E215D5" w:rsidP="006126F2">
      <w:pPr>
        <w:pStyle w:val="a8"/>
        <w:ind w:firstLineChars="200" w:firstLine="360"/>
        <w:jc w:val="both"/>
        <w:rPr>
          <w:rFonts w:ascii="Times New Roman" w:eastAsia="宋体" w:hAnsi="Times New Roman" w:cs="Times New Roman"/>
          <w:szCs w:val="21"/>
        </w:rPr>
      </w:pPr>
      <w:r w:rsidRPr="00754FE0">
        <w:rPr>
          <w:rStyle w:val="ab"/>
          <w:rFonts w:ascii="Times New Roman" w:hAnsi="Times New Roman" w:cs="Times New Roman"/>
        </w:rPr>
        <w:footnoteRef/>
      </w:r>
      <w:r w:rsidRPr="00754FE0">
        <w:rPr>
          <w:rStyle w:val="ab"/>
          <w:rFonts w:ascii="Times New Roman" w:hAnsi="Times New Roman" w:cs="Times New Roman"/>
        </w:rPr>
        <w:t xml:space="preserve"> </w:t>
      </w:r>
      <w:r w:rsidRPr="00754FE0">
        <w:rPr>
          <w:rStyle w:val="ab"/>
          <w:rFonts w:ascii="Times New Roman" w:hAnsi="Times New Roman" w:cs="Times New Roman"/>
          <w:vertAlign w:val="baseline"/>
        </w:rPr>
        <w:t>Board of Governors of the Federal Reserve System</w:t>
      </w:r>
      <w:r>
        <w:rPr>
          <w:rStyle w:val="ab"/>
          <w:rFonts w:ascii="Times New Roman" w:hAnsi="Times New Roman" w:cs="Times New Roman" w:hint="eastAsia"/>
          <w:vertAlign w:val="baseline"/>
        </w:rPr>
        <w:t>：“</w:t>
      </w:r>
      <w:r w:rsidRPr="00754FE0">
        <w:rPr>
          <w:rStyle w:val="ab"/>
          <w:rFonts w:ascii="Times New Roman" w:hAnsi="Times New Roman" w:cs="Times New Roman"/>
          <w:vertAlign w:val="baseline"/>
        </w:rPr>
        <w:t>Interagency</w:t>
      </w:r>
      <w:r w:rsidRPr="00754FE0">
        <w:rPr>
          <w:rStyle w:val="ab"/>
          <w:rFonts w:ascii="Times New Roman" w:hAnsi="Times New Roman" w:cs="Times New Roman"/>
          <w:vertAlign w:val="baseline"/>
        </w:rPr>
        <w:t> </w:t>
      </w:r>
      <w:r w:rsidRPr="00754FE0">
        <w:rPr>
          <w:rStyle w:val="ab"/>
          <w:rFonts w:ascii="Times New Roman" w:hAnsi="Times New Roman" w:cs="Times New Roman"/>
          <w:vertAlign w:val="baseline"/>
        </w:rPr>
        <w:t>Overview</w:t>
      </w:r>
      <w:r w:rsidRPr="00754FE0">
        <w:rPr>
          <w:rStyle w:val="ab"/>
          <w:rFonts w:ascii="Times New Roman" w:hAnsi="Times New Roman" w:cs="Times New Roman"/>
          <w:vertAlign w:val="baseline"/>
        </w:rPr>
        <w:t> </w:t>
      </w:r>
      <w:r w:rsidRPr="00754FE0">
        <w:rPr>
          <w:rStyle w:val="ab"/>
          <w:rFonts w:ascii="Times New Roman" w:hAnsi="Times New Roman" w:cs="Times New Roman"/>
          <w:vertAlign w:val="baseline"/>
        </w:rPr>
        <w:t>of the</w:t>
      </w:r>
      <w:r w:rsidRPr="00754FE0">
        <w:rPr>
          <w:rStyle w:val="ab"/>
          <w:rFonts w:ascii="Times New Roman" w:hAnsi="Times New Roman" w:cs="Times New Roman"/>
          <w:vertAlign w:val="baseline"/>
        </w:rPr>
        <w:t> </w:t>
      </w:r>
      <w:r w:rsidRPr="00754FE0">
        <w:rPr>
          <w:rStyle w:val="ab"/>
          <w:rFonts w:ascii="Times New Roman" w:hAnsi="Times New Roman" w:cs="Times New Roman"/>
          <w:vertAlign w:val="baseline"/>
        </w:rPr>
        <w:t>Notice</w:t>
      </w:r>
      <w:r w:rsidRPr="00754FE0">
        <w:rPr>
          <w:rStyle w:val="ab"/>
          <w:rFonts w:ascii="Times New Roman" w:hAnsi="Times New Roman" w:cs="Times New Roman"/>
          <w:vertAlign w:val="baseline"/>
        </w:rPr>
        <w:t> </w:t>
      </w:r>
      <w:r w:rsidRPr="00754FE0">
        <w:rPr>
          <w:rStyle w:val="ab"/>
          <w:rFonts w:ascii="Times New Roman" w:hAnsi="Times New Roman" w:cs="Times New Roman"/>
          <w:vertAlign w:val="baseline"/>
        </w:rPr>
        <w:t>of</w:t>
      </w:r>
      <w:r w:rsidRPr="00754FE0">
        <w:rPr>
          <w:rStyle w:val="ab"/>
          <w:rFonts w:ascii="Times New Roman" w:hAnsi="Times New Roman" w:cs="Times New Roman"/>
          <w:vertAlign w:val="baseline"/>
        </w:rPr>
        <w:t> </w:t>
      </w:r>
      <w:r w:rsidRPr="00754FE0">
        <w:rPr>
          <w:rStyle w:val="ab"/>
          <w:rFonts w:ascii="Times New Roman" w:hAnsi="Times New Roman" w:cs="Times New Roman"/>
          <w:vertAlign w:val="baseline"/>
        </w:rPr>
        <w:t>Proposed</w:t>
      </w:r>
      <w:r w:rsidRPr="00754FE0">
        <w:rPr>
          <w:rStyle w:val="ab"/>
          <w:rFonts w:ascii="Times New Roman" w:hAnsi="Times New Roman" w:cs="Times New Roman"/>
          <w:vertAlign w:val="baseline"/>
        </w:rPr>
        <w:t> </w:t>
      </w:r>
      <w:r w:rsidRPr="00754FE0">
        <w:rPr>
          <w:rStyle w:val="ab"/>
          <w:rFonts w:ascii="Times New Roman" w:hAnsi="Times New Roman" w:cs="Times New Roman"/>
          <w:vertAlign w:val="baseline"/>
        </w:rPr>
        <w:t>Rulemaking</w:t>
      </w:r>
      <w:r w:rsidRPr="00754FE0">
        <w:rPr>
          <w:rStyle w:val="ab"/>
          <w:rFonts w:ascii="Times New Roman" w:hAnsi="Times New Roman" w:cs="Times New Roman"/>
          <w:vertAlign w:val="baseline"/>
        </w:rPr>
        <w:t> </w:t>
      </w:r>
      <w:r w:rsidRPr="00754FE0">
        <w:rPr>
          <w:rStyle w:val="ab"/>
          <w:rFonts w:ascii="Times New Roman" w:hAnsi="Times New Roman" w:cs="Times New Roman"/>
          <w:vertAlign w:val="baseline"/>
        </w:rPr>
        <w:t>for</w:t>
      </w:r>
      <w:r w:rsidRPr="00754FE0">
        <w:rPr>
          <w:rStyle w:val="ab"/>
          <w:rFonts w:ascii="Times New Roman" w:hAnsi="Times New Roman" w:cs="Times New Roman"/>
          <w:vertAlign w:val="baseline"/>
        </w:rPr>
        <w:t> </w:t>
      </w:r>
      <w:r w:rsidRPr="00754FE0">
        <w:rPr>
          <w:rStyle w:val="ab"/>
          <w:rFonts w:ascii="Times New Roman" w:hAnsi="Times New Roman" w:cs="Times New Roman"/>
          <w:vertAlign w:val="baseline"/>
        </w:rPr>
        <w:t>Amendments</w:t>
      </w:r>
      <w:r w:rsidRPr="00754FE0">
        <w:rPr>
          <w:rStyle w:val="ab"/>
          <w:rFonts w:ascii="Times New Roman" w:hAnsi="Times New Roman" w:cs="Times New Roman"/>
          <w:vertAlign w:val="baseline"/>
        </w:rPr>
        <w:t> </w:t>
      </w:r>
      <w:r w:rsidRPr="00754FE0">
        <w:rPr>
          <w:rStyle w:val="ab"/>
          <w:rFonts w:ascii="Times New Roman" w:hAnsi="Times New Roman" w:cs="Times New Roman"/>
          <w:vertAlign w:val="baseline"/>
        </w:rPr>
        <w:t>to the</w:t>
      </w:r>
      <w:r w:rsidRPr="00754FE0">
        <w:rPr>
          <w:rStyle w:val="ab"/>
          <w:rFonts w:ascii="Times New Roman" w:hAnsi="Times New Roman" w:cs="Times New Roman"/>
          <w:vertAlign w:val="baseline"/>
        </w:rPr>
        <w:t> </w:t>
      </w:r>
      <w:r w:rsidRPr="00754FE0">
        <w:rPr>
          <w:rStyle w:val="ab"/>
          <w:rFonts w:ascii="Times New Roman" w:hAnsi="Times New Roman" w:cs="Times New Roman"/>
          <w:vertAlign w:val="baseline"/>
        </w:rPr>
        <w:t>Regulatory</w:t>
      </w:r>
      <w:r w:rsidRPr="00754FE0">
        <w:rPr>
          <w:rStyle w:val="ab"/>
          <w:rFonts w:ascii="Times New Roman" w:hAnsi="Times New Roman" w:cs="Times New Roman"/>
          <w:vertAlign w:val="baseline"/>
        </w:rPr>
        <w:t> </w:t>
      </w:r>
      <w:r w:rsidRPr="00754FE0">
        <w:rPr>
          <w:rStyle w:val="ab"/>
          <w:rFonts w:ascii="Times New Roman" w:hAnsi="Times New Roman" w:cs="Times New Roman"/>
          <w:vertAlign w:val="baseline"/>
        </w:rPr>
        <w:t>Capital</w:t>
      </w:r>
      <w:r w:rsidRPr="00754FE0">
        <w:rPr>
          <w:rStyle w:val="ab"/>
          <w:rFonts w:ascii="Times New Roman" w:hAnsi="Times New Roman" w:cs="Times New Roman"/>
          <w:vertAlign w:val="baseline"/>
        </w:rPr>
        <w:t> </w:t>
      </w:r>
      <w:r w:rsidRPr="00754FE0">
        <w:rPr>
          <w:rStyle w:val="ab"/>
          <w:rFonts w:ascii="Times New Roman" w:hAnsi="Times New Roman" w:cs="Times New Roman"/>
          <w:vertAlign w:val="baseline"/>
        </w:rPr>
        <w:t>Rule</w:t>
      </w:r>
      <w:r>
        <w:rPr>
          <w:rFonts w:ascii="Times New Roman" w:hAnsi="Times New Roman" w:cs="Times New Roman"/>
        </w:rPr>
        <w:t>”</w:t>
      </w:r>
      <w:r>
        <w:rPr>
          <w:rStyle w:val="ab"/>
          <w:rFonts w:ascii="Times New Roman" w:hAnsi="Times New Roman" w:cs="Times New Roman" w:hint="eastAsia"/>
          <w:vertAlign w:val="baseline"/>
        </w:rPr>
        <w:t>，</w:t>
      </w:r>
      <w:r w:rsidRPr="00754FE0">
        <w:rPr>
          <w:rStyle w:val="ab"/>
          <w:rFonts w:ascii="Times New Roman" w:hAnsi="Times New Roman" w:cs="Times New Roman"/>
          <w:vertAlign w:val="baseline"/>
        </w:rPr>
        <w:t>July 27, 2023.</w:t>
      </w:r>
    </w:p>
  </w:footnote>
  <w:footnote w:id="7">
    <w:p w14:paraId="7949FB9A" w14:textId="55B6EB31" w:rsidR="00E215D5" w:rsidRDefault="00E215D5" w:rsidP="006126F2">
      <w:pPr>
        <w:pStyle w:val="a8"/>
        <w:ind w:firstLineChars="200" w:firstLine="360"/>
        <w:jc w:val="both"/>
      </w:pPr>
      <w:r w:rsidRPr="000A7E9E">
        <w:rPr>
          <w:rStyle w:val="ab"/>
          <w:rFonts w:ascii="Times New Roman" w:eastAsia="宋体" w:hAnsi="Times New Roman" w:cs="Times New Roman"/>
        </w:rPr>
        <w:footnoteRef/>
      </w:r>
      <w:r w:rsidRPr="000A7E9E">
        <w:rPr>
          <w:rFonts w:ascii="Times New Roman" w:eastAsia="宋体" w:hAnsi="Times New Roman" w:cs="Times New Roman"/>
        </w:rPr>
        <w:t xml:space="preserve"> </w:t>
      </w:r>
      <w:r w:rsidRPr="000A7E9E">
        <w:rPr>
          <w:rFonts w:ascii="Times New Roman" w:eastAsia="宋体" w:hAnsi="Times New Roman" w:cs="Times New Roman"/>
        </w:rPr>
        <w:t>数据来自中国人民银行</w:t>
      </w:r>
      <w:r w:rsidRPr="000A7E9E">
        <w:rPr>
          <w:rFonts w:ascii="Times New Roman" w:eastAsia="宋体" w:hAnsi="Times New Roman" w:cs="Times New Roman"/>
        </w:rPr>
        <w:t>2024</w:t>
      </w:r>
      <w:r w:rsidRPr="000A7E9E">
        <w:rPr>
          <w:rFonts w:ascii="Times New Roman" w:eastAsia="宋体" w:hAnsi="Times New Roman" w:cs="Times New Roman"/>
        </w:rPr>
        <w:t>年第一季度支付体系运行总体情况。美国数据来自美联储</w:t>
      </w:r>
      <w:r>
        <w:rPr>
          <w:rFonts w:ascii="Times New Roman" w:eastAsia="宋体" w:hAnsi="Times New Roman" w:cs="Times New Roman" w:hint="eastAsia"/>
        </w:rPr>
        <w:t>2024</w:t>
      </w:r>
      <w:r>
        <w:rPr>
          <w:rFonts w:ascii="Times New Roman" w:eastAsia="宋体" w:hAnsi="Times New Roman" w:cs="Times New Roman" w:hint="eastAsia"/>
        </w:rPr>
        <w:t>年第</w:t>
      </w:r>
      <w:r w:rsidRPr="000A7E9E">
        <w:rPr>
          <w:rFonts w:ascii="Times New Roman" w:eastAsia="宋体" w:hAnsi="Times New Roman" w:cs="Times New Roman"/>
        </w:rPr>
        <w:t>一季度支付数据报告。</w:t>
      </w:r>
    </w:p>
  </w:footnote>
  <w:footnote w:id="8">
    <w:p w14:paraId="13A00F5A" w14:textId="540A5BE8" w:rsidR="00E215D5" w:rsidRPr="00483173" w:rsidRDefault="00E215D5" w:rsidP="006126F2">
      <w:pPr>
        <w:pStyle w:val="a8"/>
        <w:ind w:firstLineChars="200" w:firstLine="360"/>
        <w:jc w:val="both"/>
        <w:rPr>
          <w:rFonts w:ascii="Times New Roman" w:eastAsia="宋体" w:hAnsi="Times New Roman" w:cs="Times New Roman"/>
        </w:rPr>
      </w:pPr>
      <w:r w:rsidRPr="00483173">
        <w:rPr>
          <w:rStyle w:val="ab"/>
          <w:rFonts w:ascii="Times New Roman" w:eastAsia="宋体" w:hAnsi="Times New Roman" w:cs="Times New Roman"/>
        </w:rPr>
        <w:footnoteRef/>
      </w:r>
      <w:r w:rsidRPr="00483173">
        <w:rPr>
          <w:rFonts w:ascii="Times New Roman" w:eastAsia="宋体" w:hAnsi="Times New Roman" w:cs="Times New Roman"/>
        </w:rPr>
        <w:t xml:space="preserve"> </w:t>
      </w:r>
      <w:r>
        <w:rPr>
          <w:rFonts w:ascii="Times New Roman" w:eastAsia="宋体" w:hAnsi="Times New Roman" w:cs="Times New Roman" w:hint="eastAsia"/>
        </w:rPr>
        <w:t>年度</w:t>
      </w:r>
      <w:r w:rsidRPr="00483173">
        <w:rPr>
          <w:rFonts w:ascii="Times New Roman" w:eastAsia="宋体" w:hAnsi="Times New Roman" w:cs="Times New Roman"/>
        </w:rPr>
        <w:t>数据来自跨境银行间支付清算有限责任公司</w:t>
      </w:r>
      <w:r>
        <w:rPr>
          <w:rFonts w:ascii="Times New Roman" w:eastAsia="宋体" w:hAnsi="Times New Roman" w:cs="Times New Roman" w:hint="eastAsia"/>
        </w:rPr>
        <w:t>，日均按照</w:t>
      </w:r>
      <w:r>
        <w:rPr>
          <w:rFonts w:ascii="Times New Roman" w:eastAsia="宋体" w:hAnsi="Times New Roman" w:cs="Times New Roman" w:hint="eastAsia"/>
        </w:rPr>
        <w:t>250</w:t>
      </w:r>
      <w:r>
        <w:rPr>
          <w:rFonts w:ascii="Times New Roman" w:eastAsia="宋体" w:hAnsi="Times New Roman" w:cs="Times New Roman" w:hint="eastAsia"/>
        </w:rPr>
        <w:t>个工作日计算</w:t>
      </w:r>
      <w:r w:rsidRPr="00483173">
        <w:rPr>
          <w:rFonts w:ascii="Times New Roman" w:eastAsia="宋体" w:hAnsi="Times New Roman" w:cs="Times New Roman"/>
        </w:rPr>
        <w:t>。</w:t>
      </w:r>
    </w:p>
  </w:footnote>
  <w:footnote w:id="9">
    <w:p w14:paraId="7E79B719" w14:textId="77777777" w:rsidR="00E215D5" w:rsidRPr="00E510FD" w:rsidRDefault="00E215D5" w:rsidP="006126F2">
      <w:pPr>
        <w:ind w:firstLineChars="200" w:firstLine="360"/>
        <w:rPr>
          <w:rFonts w:ascii="Times New Roman" w:hAnsi="Times New Roman" w:cs="Times New Roman"/>
          <w:sz w:val="18"/>
          <w:szCs w:val="18"/>
        </w:rPr>
      </w:pPr>
      <w:r w:rsidRPr="00483173">
        <w:rPr>
          <w:rStyle w:val="ab"/>
          <w:rFonts w:ascii="Times New Roman" w:eastAsia="宋体" w:hAnsi="Times New Roman" w:cs="Times New Roman"/>
          <w:sz w:val="18"/>
          <w:szCs w:val="18"/>
        </w:rPr>
        <w:footnoteRef/>
      </w:r>
      <w:r w:rsidRPr="00483173">
        <w:rPr>
          <w:rFonts w:ascii="Times New Roman" w:eastAsia="宋体" w:hAnsi="Times New Roman" w:cs="Times New Roman"/>
          <w:sz w:val="18"/>
          <w:szCs w:val="18"/>
        </w:rPr>
        <w:t xml:space="preserve"> </w:t>
      </w:r>
      <w:proofErr w:type="gramStart"/>
      <w:r w:rsidRPr="00483173">
        <w:rPr>
          <w:rFonts w:ascii="Times New Roman" w:eastAsia="宋体" w:hAnsi="Times New Roman" w:cs="Times New Roman"/>
          <w:sz w:val="18"/>
          <w:szCs w:val="18"/>
        </w:rPr>
        <w:t>路孚特</w:t>
      </w:r>
      <w:proofErr w:type="gramEnd"/>
      <w:r w:rsidRPr="00483173">
        <w:rPr>
          <w:rFonts w:ascii="Times New Roman" w:eastAsia="宋体" w:hAnsi="Times New Roman" w:cs="Times New Roman"/>
          <w:sz w:val="18"/>
          <w:szCs w:val="18"/>
        </w:rPr>
        <w:t>（</w:t>
      </w:r>
      <w:r w:rsidRPr="00483173">
        <w:rPr>
          <w:rFonts w:ascii="Times New Roman" w:eastAsia="宋体" w:hAnsi="Times New Roman" w:cs="Times New Roman"/>
          <w:sz w:val="18"/>
          <w:szCs w:val="18"/>
        </w:rPr>
        <w:t>Refinitiv</w:t>
      </w:r>
      <w:r w:rsidRPr="00483173">
        <w:rPr>
          <w:rFonts w:ascii="Times New Roman" w:eastAsia="宋体" w:hAnsi="Times New Roman" w:cs="Times New Roman"/>
          <w:sz w:val="18"/>
          <w:szCs w:val="18"/>
        </w:rPr>
        <w:t>），前身为汤森路</w:t>
      </w:r>
      <w:proofErr w:type="gramStart"/>
      <w:r w:rsidRPr="00483173">
        <w:rPr>
          <w:rFonts w:ascii="Times New Roman" w:eastAsia="宋体" w:hAnsi="Times New Roman" w:cs="Times New Roman"/>
          <w:sz w:val="18"/>
          <w:szCs w:val="18"/>
        </w:rPr>
        <w:t>透金融</w:t>
      </w:r>
      <w:proofErr w:type="gramEnd"/>
      <w:r w:rsidRPr="00483173">
        <w:rPr>
          <w:rFonts w:ascii="Times New Roman" w:eastAsia="宋体" w:hAnsi="Times New Roman" w:cs="Times New Roman"/>
          <w:sz w:val="18"/>
          <w:szCs w:val="18"/>
        </w:rPr>
        <w:t>与风险事业部。</w:t>
      </w:r>
      <w:r w:rsidRPr="00483173">
        <w:rPr>
          <w:rFonts w:ascii="Times New Roman" w:eastAsia="宋体" w:hAnsi="Times New Roman" w:cs="Times New Roman"/>
          <w:sz w:val="18"/>
          <w:szCs w:val="18"/>
        </w:rPr>
        <w:t>2018</w:t>
      </w:r>
      <w:r w:rsidRPr="00483173">
        <w:rPr>
          <w:rFonts w:ascii="Times New Roman" w:eastAsia="宋体" w:hAnsi="Times New Roman" w:cs="Times New Roman"/>
          <w:sz w:val="18"/>
          <w:szCs w:val="18"/>
        </w:rPr>
        <w:t>年由汤森路</w:t>
      </w:r>
      <w:proofErr w:type="gramStart"/>
      <w:r w:rsidRPr="00483173">
        <w:rPr>
          <w:rFonts w:ascii="Times New Roman" w:eastAsia="宋体" w:hAnsi="Times New Roman" w:cs="Times New Roman"/>
          <w:sz w:val="18"/>
          <w:szCs w:val="18"/>
        </w:rPr>
        <w:t>透公司</w:t>
      </w:r>
      <w:proofErr w:type="gramEnd"/>
      <w:r w:rsidRPr="00483173">
        <w:rPr>
          <w:rFonts w:ascii="Times New Roman" w:eastAsia="宋体" w:hAnsi="Times New Roman" w:cs="Times New Roman"/>
          <w:sz w:val="18"/>
          <w:szCs w:val="18"/>
        </w:rPr>
        <w:t>和美国黑石集团达成协议</w:t>
      </w:r>
      <w:proofErr w:type="gramStart"/>
      <w:r w:rsidRPr="00483173">
        <w:rPr>
          <w:rFonts w:ascii="Times New Roman" w:eastAsia="宋体" w:hAnsi="Times New Roman" w:cs="Times New Roman"/>
          <w:sz w:val="18"/>
          <w:szCs w:val="18"/>
        </w:rPr>
        <w:t>成立路孚特</w:t>
      </w:r>
      <w:proofErr w:type="gramEnd"/>
      <w:r w:rsidRPr="00483173">
        <w:rPr>
          <w:rFonts w:ascii="Times New Roman" w:eastAsia="宋体" w:hAnsi="Times New Roman" w:cs="Times New Roman"/>
          <w:sz w:val="18"/>
          <w:szCs w:val="18"/>
        </w:rPr>
        <w:t>公司，</w:t>
      </w:r>
      <w:r w:rsidRPr="00483173">
        <w:rPr>
          <w:rFonts w:ascii="Times New Roman" w:eastAsia="宋体" w:hAnsi="Times New Roman" w:cs="Times New Roman"/>
          <w:sz w:val="18"/>
          <w:szCs w:val="18"/>
        </w:rPr>
        <w:t>2020</w:t>
      </w:r>
      <w:r w:rsidRPr="00483173">
        <w:rPr>
          <w:rFonts w:ascii="Times New Roman" w:eastAsia="宋体" w:hAnsi="Times New Roman" w:cs="Times New Roman"/>
          <w:sz w:val="18"/>
          <w:szCs w:val="18"/>
        </w:rPr>
        <w:t>年伦敦证券交易所集团斥资</w:t>
      </w:r>
      <w:r w:rsidRPr="00483173">
        <w:rPr>
          <w:rFonts w:ascii="Times New Roman" w:eastAsia="宋体" w:hAnsi="Times New Roman" w:cs="Times New Roman"/>
          <w:sz w:val="18"/>
          <w:szCs w:val="18"/>
        </w:rPr>
        <w:t>270</w:t>
      </w:r>
      <w:r w:rsidRPr="00483173">
        <w:rPr>
          <w:rFonts w:ascii="Times New Roman" w:eastAsia="宋体" w:hAnsi="Times New Roman" w:cs="Times New Roman"/>
          <w:sz w:val="18"/>
          <w:szCs w:val="18"/>
        </w:rPr>
        <w:t>亿美元</w:t>
      </w:r>
      <w:proofErr w:type="gramStart"/>
      <w:r w:rsidRPr="00483173">
        <w:rPr>
          <w:rFonts w:ascii="Times New Roman" w:eastAsia="宋体" w:hAnsi="Times New Roman" w:cs="Times New Roman"/>
          <w:sz w:val="18"/>
          <w:szCs w:val="18"/>
        </w:rPr>
        <w:t>收购路孚特</w:t>
      </w:r>
      <w:proofErr w:type="gramEnd"/>
      <w:r w:rsidRPr="00483173">
        <w:rPr>
          <w:rFonts w:ascii="Times New Roman" w:eastAsia="宋体" w:hAnsi="Times New Roman" w:cs="Times New Roman"/>
          <w:sz w:val="18"/>
          <w:szCs w:val="18"/>
        </w:rPr>
        <w:t>公司。</w:t>
      </w:r>
    </w:p>
  </w:footnote>
  <w:footnote w:id="10">
    <w:p w14:paraId="5C01E76F" w14:textId="4B42E1ED" w:rsidR="00E215D5" w:rsidRPr="00102C0F" w:rsidRDefault="00E215D5" w:rsidP="006126F2">
      <w:pPr>
        <w:pStyle w:val="a8"/>
        <w:ind w:firstLineChars="200" w:firstLine="360"/>
        <w:jc w:val="both"/>
      </w:pPr>
      <w:r w:rsidRPr="00FD6E59">
        <w:rPr>
          <w:rStyle w:val="ab"/>
          <w:rFonts w:ascii="Times New Roman" w:eastAsia="宋体" w:hAnsi="Times New Roman" w:cs="Times New Roman"/>
        </w:rPr>
        <w:footnoteRef/>
      </w:r>
      <w:r w:rsidRPr="00FD6E59">
        <w:rPr>
          <w:rFonts w:ascii="Times New Roman" w:eastAsia="宋体" w:hAnsi="Times New Roman" w:cs="Times New Roman"/>
        </w:rPr>
        <w:t xml:space="preserve"> </w:t>
      </w:r>
      <w:r w:rsidR="007A64A0">
        <w:rPr>
          <w:rFonts w:ascii="Times New Roman" w:eastAsia="宋体" w:hAnsi="Times New Roman" w:cs="Times New Roman" w:hint="eastAsia"/>
        </w:rPr>
        <w:t>这里选取的换算汇率为</w:t>
      </w:r>
      <w:r w:rsidRPr="00FD6E59">
        <w:rPr>
          <w:rFonts w:ascii="Times New Roman" w:eastAsia="宋体" w:hAnsi="Times New Roman" w:cs="Times New Roman"/>
        </w:rPr>
        <w:t>1</w:t>
      </w:r>
      <w:r w:rsidRPr="00FD6E59">
        <w:rPr>
          <w:rFonts w:ascii="Times New Roman" w:eastAsia="宋体" w:hAnsi="Times New Roman" w:cs="Times New Roman"/>
        </w:rPr>
        <w:t>美元</w:t>
      </w:r>
      <w:r w:rsidRPr="00FD6E59">
        <w:rPr>
          <w:rFonts w:ascii="Times New Roman" w:eastAsia="宋体" w:hAnsi="Times New Roman" w:cs="Times New Roman"/>
        </w:rPr>
        <w:t>=7.2</w:t>
      </w:r>
      <w:r w:rsidRPr="00FD6E59">
        <w:rPr>
          <w:rFonts w:ascii="Times New Roman" w:eastAsia="宋体" w:hAnsi="Times New Roman" w:cs="Times New Roman"/>
        </w:rPr>
        <w:t>元。</w:t>
      </w:r>
    </w:p>
  </w:footnote>
  <w:footnote w:id="11">
    <w:p w14:paraId="760E5E5E" w14:textId="66E5E5FA" w:rsidR="00E215D5" w:rsidRPr="00573BA8" w:rsidRDefault="00E215D5" w:rsidP="006126F2">
      <w:pPr>
        <w:pStyle w:val="a8"/>
        <w:ind w:firstLineChars="200" w:firstLine="360"/>
        <w:jc w:val="both"/>
        <w:rPr>
          <w:rFonts w:ascii="Times New Roman" w:eastAsia="宋体" w:hAnsi="Times New Roman" w:cs="Times New Roman"/>
        </w:rPr>
      </w:pPr>
      <w:r w:rsidRPr="00573BA8">
        <w:rPr>
          <w:rStyle w:val="ab"/>
          <w:rFonts w:ascii="Times New Roman" w:eastAsia="宋体" w:hAnsi="Times New Roman" w:cs="Times New Roman"/>
        </w:rPr>
        <w:footnoteRef/>
      </w:r>
      <w:r w:rsidRPr="00573BA8">
        <w:rPr>
          <w:rFonts w:ascii="Times New Roman" w:eastAsia="宋体" w:hAnsi="Times New Roman" w:cs="Times New Roman"/>
        </w:rPr>
        <w:t xml:space="preserve"> </w:t>
      </w:r>
      <w:r w:rsidRPr="00573BA8">
        <w:rPr>
          <w:rFonts w:ascii="Times New Roman" w:eastAsia="宋体" w:hAnsi="Times New Roman" w:cs="Times New Roman"/>
        </w:rPr>
        <w:t>数据截至</w:t>
      </w:r>
      <w:r w:rsidRPr="00573BA8">
        <w:rPr>
          <w:rFonts w:ascii="Times New Roman" w:eastAsia="宋体" w:hAnsi="Times New Roman" w:cs="Times New Roman"/>
        </w:rPr>
        <w:t>2024</w:t>
      </w:r>
      <w:r w:rsidRPr="00573BA8">
        <w:rPr>
          <w:rFonts w:ascii="Times New Roman" w:eastAsia="宋体" w:hAnsi="Times New Roman" w:cs="Times New Roman"/>
        </w:rPr>
        <w:t>年</w:t>
      </w:r>
      <w:r w:rsidRPr="00573BA8">
        <w:rPr>
          <w:rFonts w:ascii="Times New Roman" w:eastAsia="宋体" w:hAnsi="Times New Roman" w:cs="Times New Roman"/>
        </w:rPr>
        <w:t>11</w:t>
      </w:r>
      <w:r w:rsidRPr="00573BA8">
        <w:rPr>
          <w:rFonts w:ascii="Times New Roman" w:eastAsia="宋体" w:hAnsi="Times New Roman" w:cs="Times New Roman"/>
        </w:rPr>
        <w:t>月</w:t>
      </w:r>
      <w:r w:rsidRPr="00573BA8">
        <w:rPr>
          <w:rFonts w:ascii="Times New Roman" w:eastAsia="宋体" w:hAnsi="Times New Roman" w:cs="Times New Roman"/>
        </w:rPr>
        <w:t>26</w:t>
      </w:r>
      <w:r w:rsidRPr="00573BA8">
        <w:rPr>
          <w:rFonts w:ascii="Times New Roman" w:eastAsia="宋体" w:hAnsi="Times New Roman" w:cs="Times New Roman"/>
        </w:rPr>
        <w:t>日。</w:t>
      </w:r>
    </w:p>
  </w:footnote>
  <w:footnote w:id="12">
    <w:p w14:paraId="29902926" w14:textId="4861C888" w:rsidR="00E215D5" w:rsidRPr="00AE25F2" w:rsidRDefault="00E215D5" w:rsidP="00253087">
      <w:pPr>
        <w:pStyle w:val="a8"/>
        <w:ind w:firstLineChars="200" w:firstLine="360"/>
        <w:jc w:val="both"/>
        <w:rPr>
          <w:rFonts w:ascii="Times New Roman" w:eastAsia="宋体" w:hAnsi="Times New Roman" w:cs="Times New Roman"/>
        </w:rPr>
      </w:pPr>
      <w:r w:rsidRPr="00AE25F2">
        <w:rPr>
          <w:rStyle w:val="ab"/>
          <w:rFonts w:ascii="Times New Roman" w:eastAsia="宋体" w:hAnsi="Times New Roman" w:cs="Times New Roman"/>
        </w:rPr>
        <w:footnoteRef/>
      </w:r>
      <w:r w:rsidRPr="00AE25F2">
        <w:rPr>
          <w:rFonts w:ascii="Times New Roman" w:eastAsia="宋体" w:hAnsi="Times New Roman" w:cs="Times New Roman"/>
        </w:rPr>
        <w:t xml:space="preserve"> </w:t>
      </w:r>
      <w:r w:rsidRPr="00AE25F2">
        <w:rPr>
          <w:rFonts w:ascii="Times New Roman" w:eastAsia="宋体" w:hAnsi="Times New Roman" w:cs="Times New Roman"/>
        </w:rPr>
        <w:t>数据来自美国财政部</w:t>
      </w:r>
      <w:r w:rsidRPr="00AE25F2">
        <w:rPr>
          <w:rFonts w:ascii="Times New Roman" w:eastAsia="宋体" w:hAnsi="Times New Roman" w:cs="Times New Roman"/>
        </w:rPr>
        <w:t>TIC</w:t>
      </w:r>
      <w:r w:rsidRPr="00AE25F2">
        <w:rPr>
          <w:rFonts w:ascii="Times New Roman" w:eastAsia="宋体" w:hAnsi="Times New Roman" w:cs="Times New Roman"/>
        </w:rPr>
        <w:t>报告。</w:t>
      </w:r>
    </w:p>
  </w:footnote>
  <w:footnote w:id="13">
    <w:p w14:paraId="17500B98" w14:textId="08EAC5B1" w:rsidR="00E215D5" w:rsidRPr="005C17FC" w:rsidRDefault="00E215D5" w:rsidP="00253087">
      <w:pPr>
        <w:pStyle w:val="a8"/>
        <w:ind w:firstLineChars="200" w:firstLine="360"/>
        <w:jc w:val="both"/>
      </w:pPr>
      <w:r w:rsidRPr="00AE25F2">
        <w:rPr>
          <w:rStyle w:val="ab"/>
          <w:rFonts w:ascii="Times New Roman" w:eastAsia="宋体" w:hAnsi="Times New Roman" w:cs="Times New Roman"/>
        </w:rPr>
        <w:footnoteRef/>
      </w:r>
      <w:r w:rsidRPr="00AE25F2">
        <w:rPr>
          <w:rFonts w:ascii="Times New Roman" w:eastAsia="宋体" w:hAnsi="Times New Roman" w:cs="Times New Roman"/>
        </w:rPr>
        <w:t xml:space="preserve"> </w:t>
      </w:r>
      <w:r w:rsidRPr="00AE25F2">
        <w:rPr>
          <w:rFonts w:ascii="Times New Roman" w:eastAsia="宋体" w:hAnsi="Times New Roman" w:cs="Times New Roman"/>
        </w:rPr>
        <w:t>数据来自中国人民银行。</w:t>
      </w:r>
    </w:p>
  </w:footnote>
  <w:footnote w:id="14">
    <w:p w14:paraId="75FD4DDA" w14:textId="77777777" w:rsidR="00E215D5" w:rsidRPr="003B3452" w:rsidRDefault="00E215D5" w:rsidP="00792CEC">
      <w:pPr>
        <w:pStyle w:val="a8"/>
        <w:ind w:firstLineChars="200" w:firstLine="360"/>
      </w:pPr>
      <w:r>
        <w:rPr>
          <w:rStyle w:val="ab"/>
        </w:rPr>
        <w:footnoteRef/>
      </w:r>
      <w:r>
        <w:t xml:space="preserve"> </w:t>
      </w:r>
      <w:r>
        <w:rPr>
          <w:rFonts w:hint="eastAsia"/>
        </w:rPr>
        <w:t>Congressional Research Service, U.S.-China Trade Relations, IF11284, December 9,2024.</w:t>
      </w:r>
    </w:p>
  </w:footnote>
  <w:footnote w:id="15">
    <w:p w14:paraId="11A0A24E" w14:textId="77777777" w:rsidR="00E215D5" w:rsidRPr="00470B1A" w:rsidRDefault="00E215D5" w:rsidP="00792CEC">
      <w:pPr>
        <w:pStyle w:val="a8"/>
        <w:ind w:firstLineChars="200" w:firstLine="360"/>
      </w:pPr>
      <w:r>
        <w:rPr>
          <w:rStyle w:val="ab"/>
        </w:rPr>
        <w:footnoteRef/>
      </w:r>
      <w:r>
        <w:t xml:space="preserve"> </w:t>
      </w:r>
      <w:r>
        <w:rPr>
          <w:rFonts w:hint="eastAsia"/>
        </w:rPr>
        <w:t>数据源自中国商务部。</w:t>
      </w:r>
    </w:p>
  </w:footnote>
  <w:footnote w:id="16">
    <w:p w14:paraId="224AC34E" w14:textId="5FF814CD" w:rsidR="00B6283E" w:rsidRPr="00781B30" w:rsidRDefault="00B6283E" w:rsidP="00792CEC">
      <w:pPr>
        <w:pStyle w:val="a8"/>
        <w:ind w:firstLineChars="200" w:firstLine="360"/>
        <w:jc w:val="both"/>
        <w:rPr>
          <w:rFonts w:ascii="Times New Roman" w:eastAsia="宋体" w:hAnsi="Times New Roman" w:cs="Times New Roman"/>
        </w:rPr>
      </w:pPr>
      <w:r w:rsidRPr="00781B30">
        <w:rPr>
          <w:rStyle w:val="ab"/>
          <w:rFonts w:ascii="Times New Roman" w:eastAsia="宋体" w:hAnsi="Times New Roman" w:cs="Times New Roman"/>
        </w:rPr>
        <w:footnoteRef/>
      </w:r>
      <w:r w:rsidRPr="00781B30">
        <w:rPr>
          <w:rFonts w:ascii="Times New Roman" w:eastAsia="宋体" w:hAnsi="Times New Roman" w:cs="Times New Roman"/>
        </w:rPr>
        <w:t xml:space="preserve"> </w:t>
      </w:r>
      <w:r>
        <w:rPr>
          <w:rFonts w:ascii="Times New Roman" w:eastAsia="宋体" w:hAnsi="Times New Roman" w:cs="Times New Roman" w:hint="eastAsia"/>
        </w:rPr>
        <w:t>此处选取的换算汇率为</w:t>
      </w:r>
      <w:r w:rsidRPr="00781B30">
        <w:rPr>
          <w:rFonts w:ascii="Times New Roman" w:eastAsia="宋体" w:hAnsi="Times New Roman" w:cs="Times New Roman"/>
        </w:rPr>
        <w:t>1</w:t>
      </w:r>
      <w:r w:rsidRPr="00781B30">
        <w:rPr>
          <w:rFonts w:ascii="Times New Roman" w:eastAsia="宋体" w:hAnsi="Times New Roman" w:cs="Times New Roman"/>
        </w:rPr>
        <w:t>美元</w:t>
      </w:r>
      <w:r w:rsidRPr="00781B30">
        <w:rPr>
          <w:rFonts w:ascii="Times New Roman" w:eastAsia="宋体" w:hAnsi="Times New Roman" w:cs="Times New Roman"/>
        </w:rPr>
        <w:t>=7.2</w:t>
      </w:r>
      <w:r w:rsidRPr="00781B30">
        <w:rPr>
          <w:rFonts w:ascii="Times New Roman" w:eastAsia="宋体" w:hAnsi="Times New Roman" w:cs="Times New Roman"/>
        </w:rPr>
        <w:t>元。</w:t>
      </w:r>
    </w:p>
  </w:footnote>
  <w:footnote w:id="17">
    <w:p w14:paraId="15727F7B" w14:textId="129A992E" w:rsidR="00E215D5" w:rsidRPr="00173F32" w:rsidRDefault="00E215D5" w:rsidP="00792CEC">
      <w:pPr>
        <w:pStyle w:val="a8"/>
        <w:ind w:firstLineChars="200" w:firstLine="360"/>
        <w:jc w:val="both"/>
      </w:pPr>
      <w:r w:rsidRPr="00EF18E0">
        <w:rPr>
          <w:rStyle w:val="ab"/>
          <w:rFonts w:ascii="Times New Roman" w:eastAsia="宋体" w:hAnsi="Times New Roman" w:cs="Times New Roman"/>
          <w:color w:val="000000" w:themeColor="text1"/>
        </w:rPr>
        <w:footnoteRef/>
      </w:r>
      <w:r w:rsidRPr="00EF18E0">
        <w:rPr>
          <w:rFonts w:ascii="Times New Roman" w:eastAsia="宋体" w:hAnsi="Times New Roman" w:cs="Times New Roman"/>
          <w:color w:val="000000" w:themeColor="text1"/>
        </w:rPr>
        <w:t xml:space="preserve"> The White House. Strengthening American Leadership in Digital Financial Technology, Executive Order, January 23,2025.</w:t>
      </w:r>
    </w:p>
  </w:footnote>
  <w:footnote w:id="18">
    <w:p w14:paraId="34DB1B1F" w14:textId="5837E3F4" w:rsidR="00E215D5" w:rsidRPr="00FD1005" w:rsidRDefault="00E215D5" w:rsidP="00792CEC">
      <w:pPr>
        <w:pStyle w:val="a8"/>
        <w:ind w:firstLineChars="200" w:firstLine="360"/>
        <w:jc w:val="both"/>
        <w:rPr>
          <w:rFonts w:ascii="Times New Roman" w:eastAsia="宋体" w:hAnsi="Times New Roman" w:cs="Times New Roman"/>
        </w:rPr>
      </w:pPr>
      <w:r w:rsidRPr="00FD1005">
        <w:rPr>
          <w:rStyle w:val="ab"/>
          <w:rFonts w:ascii="Times New Roman" w:eastAsia="宋体" w:hAnsi="Times New Roman" w:cs="Times New Roman"/>
        </w:rPr>
        <w:footnoteRef/>
      </w:r>
      <w:r w:rsidRPr="00FD1005">
        <w:rPr>
          <w:rFonts w:ascii="Times New Roman" w:eastAsia="宋体" w:hAnsi="Times New Roman" w:cs="Times New Roman"/>
        </w:rPr>
        <w:t xml:space="preserve"> </w:t>
      </w:r>
      <w:r w:rsidRPr="00FD1005">
        <w:rPr>
          <w:rFonts w:ascii="Times New Roman" w:eastAsia="宋体" w:hAnsi="Times New Roman" w:cs="Times New Roman"/>
        </w:rPr>
        <w:t>中央金融委员会办公室、中央金融工作委员会</w:t>
      </w:r>
      <w:r w:rsidRPr="001A547F">
        <w:rPr>
          <w:rFonts w:ascii="宋体" w:eastAsia="宋体" w:hAnsi="宋体" w:cs="Times New Roman"/>
        </w:rPr>
        <w:t>：</w:t>
      </w:r>
      <w:r>
        <w:rPr>
          <w:rFonts w:ascii="宋体" w:eastAsia="宋体" w:hAnsi="宋体" w:cs="Times New Roman" w:hint="eastAsia"/>
        </w:rPr>
        <w:t>《</w:t>
      </w:r>
      <w:r w:rsidRPr="001A547F">
        <w:rPr>
          <w:rFonts w:ascii="宋体" w:eastAsia="宋体" w:hAnsi="宋体" w:cs="Times New Roman"/>
        </w:rPr>
        <w:t>锚定建设金融强国目标 扎实推动金融高质量发展</w:t>
      </w:r>
      <w:r>
        <w:rPr>
          <w:rFonts w:ascii="宋体" w:eastAsia="宋体" w:hAnsi="宋体" w:cs="Times New Roman" w:hint="eastAsia"/>
        </w:rPr>
        <w:t>》</w:t>
      </w:r>
      <w:r w:rsidRPr="001A547F">
        <w:rPr>
          <w:rFonts w:ascii="宋体" w:eastAsia="宋体" w:hAnsi="宋体" w:cs="Times New Roman"/>
        </w:rPr>
        <w:t>，《人</w:t>
      </w:r>
      <w:r w:rsidRPr="00FD1005">
        <w:rPr>
          <w:rFonts w:ascii="Times New Roman" w:eastAsia="宋体" w:hAnsi="Times New Roman" w:cs="Times New Roman"/>
        </w:rPr>
        <w:t>民日报》，</w:t>
      </w:r>
      <w:r w:rsidRPr="00FD1005">
        <w:rPr>
          <w:rFonts w:ascii="Times New Roman" w:eastAsia="宋体" w:hAnsi="Times New Roman" w:cs="Times New Roman"/>
        </w:rPr>
        <w:t>2024</w:t>
      </w:r>
      <w:r w:rsidRPr="00FD1005">
        <w:rPr>
          <w:rFonts w:ascii="Times New Roman" w:eastAsia="宋体" w:hAnsi="Times New Roman" w:cs="Times New Roman"/>
        </w:rPr>
        <w:t>年</w:t>
      </w:r>
      <w:r w:rsidRPr="00FD1005">
        <w:rPr>
          <w:rFonts w:ascii="Times New Roman" w:eastAsia="宋体" w:hAnsi="Times New Roman" w:cs="Times New Roman"/>
        </w:rPr>
        <w:t>2</w:t>
      </w:r>
      <w:r w:rsidRPr="00FD1005">
        <w:rPr>
          <w:rFonts w:ascii="Times New Roman" w:eastAsia="宋体" w:hAnsi="Times New Roman" w:cs="Times New Roman"/>
        </w:rPr>
        <w:t>月</w:t>
      </w:r>
      <w:r w:rsidRPr="00FD1005">
        <w:rPr>
          <w:rFonts w:ascii="Times New Roman" w:eastAsia="宋体" w:hAnsi="Times New Roman" w:cs="Times New Roman"/>
        </w:rPr>
        <w:t>21</w:t>
      </w:r>
      <w:r w:rsidRPr="00FD1005">
        <w:rPr>
          <w:rFonts w:ascii="Times New Roman" w:eastAsia="宋体" w:hAnsi="Times New Roman" w:cs="Times New Roman"/>
        </w:rPr>
        <w:t>日。</w:t>
      </w:r>
    </w:p>
  </w:footnote>
  <w:footnote w:id="19">
    <w:p w14:paraId="09B7A22B" w14:textId="1E5C4700" w:rsidR="00E215D5" w:rsidRDefault="00E215D5" w:rsidP="00792CEC">
      <w:pPr>
        <w:pStyle w:val="a8"/>
        <w:ind w:firstLineChars="200" w:firstLine="360"/>
        <w:jc w:val="both"/>
      </w:pPr>
      <w:r w:rsidRPr="002E584F">
        <w:rPr>
          <w:rStyle w:val="ab"/>
          <w:rFonts w:ascii="Times New Roman" w:eastAsia="宋体" w:hAnsi="Times New Roman" w:cs="Times New Roman"/>
        </w:rPr>
        <w:footnoteRef/>
      </w:r>
      <w:r w:rsidRPr="002E584F">
        <w:rPr>
          <w:rFonts w:ascii="Times New Roman" w:eastAsia="宋体" w:hAnsi="Times New Roman" w:cs="Times New Roman"/>
        </w:rPr>
        <w:t xml:space="preserve"> </w:t>
      </w:r>
      <w:r w:rsidRPr="002E584F">
        <w:rPr>
          <w:rFonts w:ascii="Times New Roman" w:eastAsia="宋体" w:hAnsi="Times New Roman" w:cs="Times New Roman"/>
        </w:rPr>
        <w:t>中央金融委员会办公室、中央金融工作委员会：</w:t>
      </w:r>
      <w:r>
        <w:rPr>
          <w:rFonts w:ascii="宋体" w:eastAsia="宋体" w:hAnsi="宋体" w:cs="Times New Roman" w:hint="eastAsia"/>
        </w:rPr>
        <w:t>《</w:t>
      </w:r>
      <w:r w:rsidRPr="002E584F">
        <w:rPr>
          <w:rFonts w:ascii="宋体" w:eastAsia="宋体" w:hAnsi="宋体" w:cs="Times New Roman"/>
        </w:rPr>
        <w:t>坚定不移走中国特色金融发展之路</w:t>
      </w:r>
      <w:r>
        <w:rPr>
          <w:rFonts w:ascii="宋体" w:eastAsia="宋体" w:hAnsi="宋体" w:cs="Times New Roman" w:hint="eastAsia"/>
        </w:rPr>
        <w:t>》</w:t>
      </w:r>
      <w:r w:rsidRPr="002E584F">
        <w:rPr>
          <w:rFonts w:ascii="宋体" w:eastAsia="宋体" w:hAnsi="宋体" w:cs="Times New Roman"/>
        </w:rPr>
        <w:t>，</w:t>
      </w:r>
      <w:r w:rsidRPr="002E584F">
        <w:rPr>
          <w:rFonts w:ascii="Times New Roman" w:eastAsia="宋体" w:hAnsi="Times New Roman" w:cs="Times New Roman"/>
        </w:rPr>
        <w:t>《求是》，</w:t>
      </w:r>
      <w:r w:rsidRPr="002E584F">
        <w:rPr>
          <w:rFonts w:ascii="Times New Roman" w:eastAsia="宋体" w:hAnsi="Times New Roman" w:cs="Times New Roman"/>
        </w:rPr>
        <w:t>2023</w:t>
      </w:r>
      <w:r w:rsidRPr="002E584F">
        <w:rPr>
          <w:rFonts w:ascii="Times New Roman" w:eastAsia="宋体" w:hAnsi="Times New Roman" w:cs="Times New Roman"/>
        </w:rPr>
        <w:t>年第</w:t>
      </w:r>
      <w:r w:rsidRPr="002E584F">
        <w:rPr>
          <w:rFonts w:ascii="Times New Roman" w:eastAsia="宋体" w:hAnsi="Times New Roman" w:cs="Times New Roman"/>
        </w:rPr>
        <w:t>23</w:t>
      </w:r>
      <w:r w:rsidRPr="002E584F">
        <w:rPr>
          <w:rFonts w:ascii="Times New Roman" w:eastAsia="宋体" w:hAnsi="Times New Roman" w:cs="Times New Roman"/>
        </w:rPr>
        <w:t>期。</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55309C2"/>
    <w:multiLevelType w:val="singleLevel"/>
    <w:tmpl w:val="E55309C2"/>
    <w:lvl w:ilvl="0">
      <w:start w:val="1"/>
      <w:numFmt w:val="decimal"/>
      <w:suff w:val="nothing"/>
      <w:lvlText w:val="[%1] "/>
      <w:lvlJc w:val="left"/>
      <w:pPr>
        <w:tabs>
          <w:tab w:val="left" w:pos="-40"/>
        </w:tabs>
        <w:ind w:left="-40" w:firstLine="40"/>
      </w:pPr>
      <w:rPr>
        <w:rFonts w:hint="default"/>
      </w:rPr>
    </w:lvl>
  </w:abstractNum>
  <w:abstractNum w:abstractNumId="1" w15:restartNumberingAfterBreak="0">
    <w:nsid w:val="1E5C3D64"/>
    <w:multiLevelType w:val="singleLevel"/>
    <w:tmpl w:val="1E5C3D64"/>
    <w:lvl w:ilvl="0">
      <w:start w:val="1"/>
      <w:numFmt w:val="decimal"/>
      <w:suff w:val="nothing"/>
      <w:lvlText w:val="[%1]"/>
      <w:lvlJc w:val="left"/>
      <w:pPr>
        <w:tabs>
          <w:tab w:val="left" w:pos="420"/>
        </w:tabs>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CB4"/>
    <w:rsid w:val="ADFF65E1"/>
    <w:rsid w:val="AFE7FB49"/>
    <w:rsid w:val="C79778F7"/>
    <w:rsid w:val="D3EFFBA8"/>
    <w:rsid w:val="DE87AB3E"/>
    <w:rsid w:val="FDCC77B4"/>
    <w:rsid w:val="00001492"/>
    <w:rsid w:val="00001F3E"/>
    <w:rsid w:val="000053BD"/>
    <w:rsid w:val="0000584A"/>
    <w:rsid w:val="000069A2"/>
    <w:rsid w:val="00010721"/>
    <w:rsid w:val="00011BE2"/>
    <w:rsid w:val="000125F1"/>
    <w:rsid w:val="0001391D"/>
    <w:rsid w:val="00013C3F"/>
    <w:rsid w:val="0001573F"/>
    <w:rsid w:val="00016B18"/>
    <w:rsid w:val="0001708B"/>
    <w:rsid w:val="000279AC"/>
    <w:rsid w:val="000279C5"/>
    <w:rsid w:val="0003043F"/>
    <w:rsid w:val="0003093F"/>
    <w:rsid w:val="000312C0"/>
    <w:rsid w:val="0004225B"/>
    <w:rsid w:val="00043BAE"/>
    <w:rsid w:val="00043BCE"/>
    <w:rsid w:val="0004545E"/>
    <w:rsid w:val="00046C7B"/>
    <w:rsid w:val="000478CB"/>
    <w:rsid w:val="0004798B"/>
    <w:rsid w:val="00050E53"/>
    <w:rsid w:val="00052EBA"/>
    <w:rsid w:val="00054E18"/>
    <w:rsid w:val="00055FAB"/>
    <w:rsid w:val="00061330"/>
    <w:rsid w:val="000671DD"/>
    <w:rsid w:val="00073508"/>
    <w:rsid w:val="00073FCC"/>
    <w:rsid w:val="000748DC"/>
    <w:rsid w:val="00074EC1"/>
    <w:rsid w:val="00076328"/>
    <w:rsid w:val="00090818"/>
    <w:rsid w:val="000931D3"/>
    <w:rsid w:val="000938B1"/>
    <w:rsid w:val="00093E62"/>
    <w:rsid w:val="00094EFC"/>
    <w:rsid w:val="000A69A8"/>
    <w:rsid w:val="000A69EC"/>
    <w:rsid w:val="000A73A4"/>
    <w:rsid w:val="000A7E9E"/>
    <w:rsid w:val="000B4F75"/>
    <w:rsid w:val="000C181F"/>
    <w:rsid w:val="000C62AD"/>
    <w:rsid w:val="000C7A8A"/>
    <w:rsid w:val="000D017A"/>
    <w:rsid w:val="000D19F3"/>
    <w:rsid w:val="000D2801"/>
    <w:rsid w:val="000D30C5"/>
    <w:rsid w:val="000D4DAB"/>
    <w:rsid w:val="000D7687"/>
    <w:rsid w:val="000E08DC"/>
    <w:rsid w:val="000E1AA1"/>
    <w:rsid w:val="000E2DC4"/>
    <w:rsid w:val="000E2F3F"/>
    <w:rsid w:val="000E45B6"/>
    <w:rsid w:val="000E5363"/>
    <w:rsid w:val="000E5468"/>
    <w:rsid w:val="000F0E5C"/>
    <w:rsid w:val="000F1CE5"/>
    <w:rsid w:val="000F3758"/>
    <w:rsid w:val="000F40DB"/>
    <w:rsid w:val="000F5BD0"/>
    <w:rsid w:val="00102C0F"/>
    <w:rsid w:val="001065A1"/>
    <w:rsid w:val="00112362"/>
    <w:rsid w:val="00112CE2"/>
    <w:rsid w:val="00113386"/>
    <w:rsid w:val="00121794"/>
    <w:rsid w:val="00121B55"/>
    <w:rsid w:val="001224EA"/>
    <w:rsid w:val="00123DCC"/>
    <w:rsid w:val="00124AA7"/>
    <w:rsid w:val="001255C0"/>
    <w:rsid w:val="00125990"/>
    <w:rsid w:val="00132EA8"/>
    <w:rsid w:val="0013637A"/>
    <w:rsid w:val="00137878"/>
    <w:rsid w:val="00142163"/>
    <w:rsid w:val="001435EC"/>
    <w:rsid w:val="00143848"/>
    <w:rsid w:val="00144294"/>
    <w:rsid w:val="001545F2"/>
    <w:rsid w:val="0015494E"/>
    <w:rsid w:val="00155F37"/>
    <w:rsid w:val="001625F7"/>
    <w:rsid w:val="00163D55"/>
    <w:rsid w:val="00171D30"/>
    <w:rsid w:val="00173020"/>
    <w:rsid w:val="00173C3E"/>
    <w:rsid w:val="00173F32"/>
    <w:rsid w:val="00173F69"/>
    <w:rsid w:val="00175081"/>
    <w:rsid w:val="00175440"/>
    <w:rsid w:val="00175CAA"/>
    <w:rsid w:val="00182D1F"/>
    <w:rsid w:val="00183959"/>
    <w:rsid w:val="00185C35"/>
    <w:rsid w:val="00186279"/>
    <w:rsid w:val="00187691"/>
    <w:rsid w:val="00187B88"/>
    <w:rsid w:val="001919BF"/>
    <w:rsid w:val="00193D45"/>
    <w:rsid w:val="0019426F"/>
    <w:rsid w:val="001946E2"/>
    <w:rsid w:val="001A1443"/>
    <w:rsid w:val="001A387C"/>
    <w:rsid w:val="001A4074"/>
    <w:rsid w:val="001A4495"/>
    <w:rsid w:val="001A4E68"/>
    <w:rsid w:val="001A547F"/>
    <w:rsid w:val="001A5581"/>
    <w:rsid w:val="001A75B4"/>
    <w:rsid w:val="001A78C4"/>
    <w:rsid w:val="001A7AB8"/>
    <w:rsid w:val="001B0FBD"/>
    <w:rsid w:val="001B3572"/>
    <w:rsid w:val="001B419B"/>
    <w:rsid w:val="001C05F5"/>
    <w:rsid w:val="001C3ACB"/>
    <w:rsid w:val="001C4450"/>
    <w:rsid w:val="001C6DD6"/>
    <w:rsid w:val="001D0FEF"/>
    <w:rsid w:val="001D15CD"/>
    <w:rsid w:val="001D2A87"/>
    <w:rsid w:val="001D59F1"/>
    <w:rsid w:val="001D6090"/>
    <w:rsid w:val="001D6796"/>
    <w:rsid w:val="001E1EBD"/>
    <w:rsid w:val="001E31CA"/>
    <w:rsid w:val="001E5AC2"/>
    <w:rsid w:val="001E65BB"/>
    <w:rsid w:val="001E6635"/>
    <w:rsid w:val="001F075F"/>
    <w:rsid w:val="001F3E08"/>
    <w:rsid w:val="001F43A2"/>
    <w:rsid w:val="001F5F58"/>
    <w:rsid w:val="001F6CE6"/>
    <w:rsid w:val="001F6E1B"/>
    <w:rsid w:val="00200187"/>
    <w:rsid w:val="00204665"/>
    <w:rsid w:val="00205386"/>
    <w:rsid w:val="00206F18"/>
    <w:rsid w:val="00207586"/>
    <w:rsid w:val="002109E3"/>
    <w:rsid w:val="0021169C"/>
    <w:rsid w:val="00211BFC"/>
    <w:rsid w:val="0021232E"/>
    <w:rsid w:val="002129EB"/>
    <w:rsid w:val="002139F4"/>
    <w:rsid w:val="00216551"/>
    <w:rsid w:val="0021662B"/>
    <w:rsid w:val="00221B6B"/>
    <w:rsid w:val="00224E85"/>
    <w:rsid w:val="00225474"/>
    <w:rsid w:val="00226F09"/>
    <w:rsid w:val="00232823"/>
    <w:rsid w:val="00232B97"/>
    <w:rsid w:val="002334E1"/>
    <w:rsid w:val="002349C1"/>
    <w:rsid w:val="00236786"/>
    <w:rsid w:val="00241DCE"/>
    <w:rsid w:val="0024454C"/>
    <w:rsid w:val="00245E49"/>
    <w:rsid w:val="0024696F"/>
    <w:rsid w:val="00253087"/>
    <w:rsid w:val="00257591"/>
    <w:rsid w:val="00260E37"/>
    <w:rsid w:val="00263460"/>
    <w:rsid w:val="00263A40"/>
    <w:rsid w:val="00264301"/>
    <w:rsid w:val="00265915"/>
    <w:rsid w:val="00265B9E"/>
    <w:rsid w:val="00266AB4"/>
    <w:rsid w:val="00267737"/>
    <w:rsid w:val="00273280"/>
    <w:rsid w:val="00273CB9"/>
    <w:rsid w:val="0027426F"/>
    <w:rsid w:val="0028299C"/>
    <w:rsid w:val="00286ABD"/>
    <w:rsid w:val="00290DCC"/>
    <w:rsid w:val="002921B0"/>
    <w:rsid w:val="00292F96"/>
    <w:rsid w:val="002959D2"/>
    <w:rsid w:val="0029648C"/>
    <w:rsid w:val="0029716D"/>
    <w:rsid w:val="002A289A"/>
    <w:rsid w:val="002A292A"/>
    <w:rsid w:val="002A4982"/>
    <w:rsid w:val="002A6D5D"/>
    <w:rsid w:val="002A7810"/>
    <w:rsid w:val="002A7E8D"/>
    <w:rsid w:val="002B0920"/>
    <w:rsid w:val="002B166E"/>
    <w:rsid w:val="002B1992"/>
    <w:rsid w:val="002B1FF5"/>
    <w:rsid w:val="002B2B46"/>
    <w:rsid w:val="002B3775"/>
    <w:rsid w:val="002B40BB"/>
    <w:rsid w:val="002B4632"/>
    <w:rsid w:val="002C7772"/>
    <w:rsid w:val="002D286B"/>
    <w:rsid w:val="002D2D6F"/>
    <w:rsid w:val="002D7066"/>
    <w:rsid w:val="002E49A5"/>
    <w:rsid w:val="002E5118"/>
    <w:rsid w:val="002E584F"/>
    <w:rsid w:val="002E6152"/>
    <w:rsid w:val="002E6AF2"/>
    <w:rsid w:val="002E6FCF"/>
    <w:rsid w:val="002F1430"/>
    <w:rsid w:val="002F30DE"/>
    <w:rsid w:val="002F643E"/>
    <w:rsid w:val="002F6FDE"/>
    <w:rsid w:val="002F779D"/>
    <w:rsid w:val="0030253B"/>
    <w:rsid w:val="00303ECC"/>
    <w:rsid w:val="00305D30"/>
    <w:rsid w:val="00307C24"/>
    <w:rsid w:val="00313126"/>
    <w:rsid w:val="00314EBC"/>
    <w:rsid w:val="00322342"/>
    <w:rsid w:val="003237E9"/>
    <w:rsid w:val="00324B66"/>
    <w:rsid w:val="00324D32"/>
    <w:rsid w:val="00326AB0"/>
    <w:rsid w:val="003311B1"/>
    <w:rsid w:val="003334AD"/>
    <w:rsid w:val="00333B40"/>
    <w:rsid w:val="0033654B"/>
    <w:rsid w:val="0034075F"/>
    <w:rsid w:val="00340F8A"/>
    <w:rsid w:val="003411E5"/>
    <w:rsid w:val="00342450"/>
    <w:rsid w:val="003424D0"/>
    <w:rsid w:val="00343A53"/>
    <w:rsid w:val="0034555A"/>
    <w:rsid w:val="0034609D"/>
    <w:rsid w:val="003462DF"/>
    <w:rsid w:val="00346DEA"/>
    <w:rsid w:val="00347ABE"/>
    <w:rsid w:val="00350361"/>
    <w:rsid w:val="003531A2"/>
    <w:rsid w:val="00353F23"/>
    <w:rsid w:val="003557FA"/>
    <w:rsid w:val="0035668C"/>
    <w:rsid w:val="003572C2"/>
    <w:rsid w:val="003572D9"/>
    <w:rsid w:val="00357835"/>
    <w:rsid w:val="0035796A"/>
    <w:rsid w:val="0035798A"/>
    <w:rsid w:val="00362BBB"/>
    <w:rsid w:val="003651D6"/>
    <w:rsid w:val="00365721"/>
    <w:rsid w:val="003657EB"/>
    <w:rsid w:val="00367F16"/>
    <w:rsid w:val="0037039E"/>
    <w:rsid w:val="00371692"/>
    <w:rsid w:val="00371830"/>
    <w:rsid w:val="00374CED"/>
    <w:rsid w:val="003769F0"/>
    <w:rsid w:val="0037745D"/>
    <w:rsid w:val="003816E3"/>
    <w:rsid w:val="00382FBA"/>
    <w:rsid w:val="003874E2"/>
    <w:rsid w:val="00393AF0"/>
    <w:rsid w:val="00393C9C"/>
    <w:rsid w:val="00393D62"/>
    <w:rsid w:val="00395A11"/>
    <w:rsid w:val="003A28F7"/>
    <w:rsid w:val="003A5C53"/>
    <w:rsid w:val="003B3452"/>
    <w:rsid w:val="003B4968"/>
    <w:rsid w:val="003B4F23"/>
    <w:rsid w:val="003B524F"/>
    <w:rsid w:val="003C0519"/>
    <w:rsid w:val="003C0EBE"/>
    <w:rsid w:val="003C17A4"/>
    <w:rsid w:val="003C41F2"/>
    <w:rsid w:val="003C62D9"/>
    <w:rsid w:val="003C7219"/>
    <w:rsid w:val="003D06F1"/>
    <w:rsid w:val="003D2770"/>
    <w:rsid w:val="003D2AA5"/>
    <w:rsid w:val="003D3918"/>
    <w:rsid w:val="003D63E3"/>
    <w:rsid w:val="003D79D6"/>
    <w:rsid w:val="003E02F5"/>
    <w:rsid w:val="003E1D27"/>
    <w:rsid w:val="003E5FC9"/>
    <w:rsid w:val="003E7125"/>
    <w:rsid w:val="003F1445"/>
    <w:rsid w:val="003F3C75"/>
    <w:rsid w:val="003F65F9"/>
    <w:rsid w:val="003F6AB0"/>
    <w:rsid w:val="003F7A1A"/>
    <w:rsid w:val="00400437"/>
    <w:rsid w:val="00405958"/>
    <w:rsid w:val="00406FCD"/>
    <w:rsid w:val="00410998"/>
    <w:rsid w:val="004128BA"/>
    <w:rsid w:val="00413191"/>
    <w:rsid w:val="00413C23"/>
    <w:rsid w:val="00414741"/>
    <w:rsid w:val="004164B3"/>
    <w:rsid w:val="00417D39"/>
    <w:rsid w:val="004209AE"/>
    <w:rsid w:val="00424CDF"/>
    <w:rsid w:val="00425095"/>
    <w:rsid w:val="00425B2E"/>
    <w:rsid w:val="00425FB0"/>
    <w:rsid w:val="00426E7B"/>
    <w:rsid w:val="00431963"/>
    <w:rsid w:val="00431D43"/>
    <w:rsid w:val="004355D0"/>
    <w:rsid w:val="00435C25"/>
    <w:rsid w:val="00437AB7"/>
    <w:rsid w:val="004402A7"/>
    <w:rsid w:val="00441F74"/>
    <w:rsid w:val="0044256B"/>
    <w:rsid w:val="0044326B"/>
    <w:rsid w:val="00446461"/>
    <w:rsid w:val="00446556"/>
    <w:rsid w:val="00447444"/>
    <w:rsid w:val="004506F9"/>
    <w:rsid w:val="00450FCC"/>
    <w:rsid w:val="00451798"/>
    <w:rsid w:val="00452E94"/>
    <w:rsid w:val="00453061"/>
    <w:rsid w:val="0045583F"/>
    <w:rsid w:val="00457C41"/>
    <w:rsid w:val="004606FF"/>
    <w:rsid w:val="004636D8"/>
    <w:rsid w:val="00463ABB"/>
    <w:rsid w:val="00465770"/>
    <w:rsid w:val="00465EF6"/>
    <w:rsid w:val="00466D75"/>
    <w:rsid w:val="00470B1A"/>
    <w:rsid w:val="00471680"/>
    <w:rsid w:val="0047323B"/>
    <w:rsid w:val="004764FC"/>
    <w:rsid w:val="004801C9"/>
    <w:rsid w:val="004809E3"/>
    <w:rsid w:val="0048159A"/>
    <w:rsid w:val="00483173"/>
    <w:rsid w:val="00485A43"/>
    <w:rsid w:val="0049052D"/>
    <w:rsid w:val="00493BBE"/>
    <w:rsid w:val="00495BDD"/>
    <w:rsid w:val="00497E2E"/>
    <w:rsid w:val="004A4124"/>
    <w:rsid w:val="004A4501"/>
    <w:rsid w:val="004A545E"/>
    <w:rsid w:val="004A63F8"/>
    <w:rsid w:val="004A7F3D"/>
    <w:rsid w:val="004B0716"/>
    <w:rsid w:val="004C01C3"/>
    <w:rsid w:val="004C2356"/>
    <w:rsid w:val="004C2EBB"/>
    <w:rsid w:val="004D5421"/>
    <w:rsid w:val="004D5574"/>
    <w:rsid w:val="004E1CDC"/>
    <w:rsid w:val="004E2C96"/>
    <w:rsid w:val="004E3457"/>
    <w:rsid w:val="004E3BB3"/>
    <w:rsid w:val="004E5695"/>
    <w:rsid w:val="004E637C"/>
    <w:rsid w:val="004E6E0F"/>
    <w:rsid w:val="004F04C5"/>
    <w:rsid w:val="004F408A"/>
    <w:rsid w:val="004F4AAB"/>
    <w:rsid w:val="00500572"/>
    <w:rsid w:val="005027B9"/>
    <w:rsid w:val="005062A1"/>
    <w:rsid w:val="005067AB"/>
    <w:rsid w:val="00506B48"/>
    <w:rsid w:val="00507CE4"/>
    <w:rsid w:val="0051463F"/>
    <w:rsid w:val="00516269"/>
    <w:rsid w:val="00520C7E"/>
    <w:rsid w:val="00521928"/>
    <w:rsid w:val="00527FBB"/>
    <w:rsid w:val="00532AC9"/>
    <w:rsid w:val="00533122"/>
    <w:rsid w:val="0054154C"/>
    <w:rsid w:val="00541DEB"/>
    <w:rsid w:val="005452B3"/>
    <w:rsid w:val="0054592A"/>
    <w:rsid w:val="005465B4"/>
    <w:rsid w:val="00551E5B"/>
    <w:rsid w:val="0055404C"/>
    <w:rsid w:val="00557C6E"/>
    <w:rsid w:val="00560242"/>
    <w:rsid w:val="005629C2"/>
    <w:rsid w:val="00562D10"/>
    <w:rsid w:val="00567D58"/>
    <w:rsid w:val="00571050"/>
    <w:rsid w:val="00573BA8"/>
    <w:rsid w:val="00573FF6"/>
    <w:rsid w:val="00574165"/>
    <w:rsid w:val="00574A48"/>
    <w:rsid w:val="005821B4"/>
    <w:rsid w:val="00582615"/>
    <w:rsid w:val="005858B1"/>
    <w:rsid w:val="00585FE2"/>
    <w:rsid w:val="005876FF"/>
    <w:rsid w:val="00587D05"/>
    <w:rsid w:val="005944ED"/>
    <w:rsid w:val="00594933"/>
    <w:rsid w:val="005A3FFA"/>
    <w:rsid w:val="005B1985"/>
    <w:rsid w:val="005B46D7"/>
    <w:rsid w:val="005B5008"/>
    <w:rsid w:val="005B7C1F"/>
    <w:rsid w:val="005C17FC"/>
    <w:rsid w:val="005C4A62"/>
    <w:rsid w:val="005C598A"/>
    <w:rsid w:val="005C6C13"/>
    <w:rsid w:val="005D015F"/>
    <w:rsid w:val="005D18A0"/>
    <w:rsid w:val="005D577A"/>
    <w:rsid w:val="005E74AC"/>
    <w:rsid w:val="005F277B"/>
    <w:rsid w:val="005F27BF"/>
    <w:rsid w:val="005F3ABC"/>
    <w:rsid w:val="005F5182"/>
    <w:rsid w:val="005F6146"/>
    <w:rsid w:val="005F7EC5"/>
    <w:rsid w:val="00601CA8"/>
    <w:rsid w:val="006049B8"/>
    <w:rsid w:val="00604C59"/>
    <w:rsid w:val="0060582A"/>
    <w:rsid w:val="006071C7"/>
    <w:rsid w:val="0061129B"/>
    <w:rsid w:val="00611341"/>
    <w:rsid w:val="00611903"/>
    <w:rsid w:val="0061191E"/>
    <w:rsid w:val="006126F2"/>
    <w:rsid w:val="006221C3"/>
    <w:rsid w:val="00622477"/>
    <w:rsid w:val="00622BEF"/>
    <w:rsid w:val="00623F48"/>
    <w:rsid w:val="0062497B"/>
    <w:rsid w:val="006313C9"/>
    <w:rsid w:val="0063227C"/>
    <w:rsid w:val="006347CE"/>
    <w:rsid w:val="00634862"/>
    <w:rsid w:val="00636A6D"/>
    <w:rsid w:val="006373D6"/>
    <w:rsid w:val="00640BA1"/>
    <w:rsid w:val="00640DE3"/>
    <w:rsid w:val="00641977"/>
    <w:rsid w:val="00643930"/>
    <w:rsid w:val="00644DE5"/>
    <w:rsid w:val="006451D7"/>
    <w:rsid w:val="00652DDD"/>
    <w:rsid w:val="006552A5"/>
    <w:rsid w:val="00656602"/>
    <w:rsid w:val="00657AA1"/>
    <w:rsid w:val="00657D2F"/>
    <w:rsid w:val="00660E12"/>
    <w:rsid w:val="0066302B"/>
    <w:rsid w:val="0066605C"/>
    <w:rsid w:val="00667491"/>
    <w:rsid w:val="006743A0"/>
    <w:rsid w:val="00674719"/>
    <w:rsid w:val="00674D37"/>
    <w:rsid w:val="00676F1B"/>
    <w:rsid w:val="006827AD"/>
    <w:rsid w:val="00682CB4"/>
    <w:rsid w:val="00683891"/>
    <w:rsid w:val="00685646"/>
    <w:rsid w:val="00690D59"/>
    <w:rsid w:val="00691D9C"/>
    <w:rsid w:val="0069410B"/>
    <w:rsid w:val="0069467F"/>
    <w:rsid w:val="00694BFD"/>
    <w:rsid w:val="00694F8B"/>
    <w:rsid w:val="00696A28"/>
    <w:rsid w:val="006975AE"/>
    <w:rsid w:val="006A0058"/>
    <w:rsid w:val="006A0EFA"/>
    <w:rsid w:val="006A3130"/>
    <w:rsid w:val="006A44A7"/>
    <w:rsid w:val="006A4C79"/>
    <w:rsid w:val="006A5B29"/>
    <w:rsid w:val="006A5D0C"/>
    <w:rsid w:val="006B0923"/>
    <w:rsid w:val="006B7354"/>
    <w:rsid w:val="006C672F"/>
    <w:rsid w:val="006D0151"/>
    <w:rsid w:val="006D0B43"/>
    <w:rsid w:val="006D3C18"/>
    <w:rsid w:val="006D4817"/>
    <w:rsid w:val="006D4E8A"/>
    <w:rsid w:val="006D583E"/>
    <w:rsid w:val="006D58F4"/>
    <w:rsid w:val="006D7C70"/>
    <w:rsid w:val="006D7EB4"/>
    <w:rsid w:val="006E2C04"/>
    <w:rsid w:val="006E5912"/>
    <w:rsid w:val="006E6389"/>
    <w:rsid w:val="006F5B61"/>
    <w:rsid w:val="00715150"/>
    <w:rsid w:val="00720631"/>
    <w:rsid w:val="00722D5D"/>
    <w:rsid w:val="007259BE"/>
    <w:rsid w:val="00732225"/>
    <w:rsid w:val="00733274"/>
    <w:rsid w:val="00735789"/>
    <w:rsid w:val="00737618"/>
    <w:rsid w:val="0075105E"/>
    <w:rsid w:val="0075149B"/>
    <w:rsid w:val="00754D12"/>
    <w:rsid w:val="00754FE0"/>
    <w:rsid w:val="0075610D"/>
    <w:rsid w:val="00762A61"/>
    <w:rsid w:val="007642B1"/>
    <w:rsid w:val="007712B3"/>
    <w:rsid w:val="0077183B"/>
    <w:rsid w:val="00773500"/>
    <w:rsid w:val="007763EB"/>
    <w:rsid w:val="00780D7D"/>
    <w:rsid w:val="00781100"/>
    <w:rsid w:val="00781B30"/>
    <w:rsid w:val="007822A1"/>
    <w:rsid w:val="007836EE"/>
    <w:rsid w:val="0078410D"/>
    <w:rsid w:val="0079119C"/>
    <w:rsid w:val="0079171F"/>
    <w:rsid w:val="00792CEC"/>
    <w:rsid w:val="00793595"/>
    <w:rsid w:val="00794203"/>
    <w:rsid w:val="00796CAD"/>
    <w:rsid w:val="00797FB3"/>
    <w:rsid w:val="007A0B11"/>
    <w:rsid w:val="007A27C5"/>
    <w:rsid w:val="007A6106"/>
    <w:rsid w:val="007A648C"/>
    <w:rsid w:val="007A64A0"/>
    <w:rsid w:val="007A7AFE"/>
    <w:rsid w:val="007B6EE4"/>
    <w:rsid w:val="007C1535"/>
    <w:rsid w:val="007C1568"/>
    <w:rsid w:val="007C2076"/>
    <w:rsid w:val="007C2FAF"/>
    <w:rsid w:val="007C30EF"/>
    <w:rsid w:val="007C7057"/>
    <w:rsid w:val="007C7CFD"/>
    <w:rsid w:val="007D12F5"/>
    <w:rsid w:val="007D24B5"/>
    <w:rsid w:val="007D26C4"/>
    <w:rsid w:val="007D2CF7"/>
    <w:rsid w:val="007D6AB2"/>
    <w:rsid w:val="007D6DA3"/>
    <w:rsid w:val="007E09A6"/>
    <w:rsid w:val="007E113A"/>
    <w:rsid w:val="007E2E70"/>
    <w:rsid w:val="007E2F2E"/>
    <w:rsid w:val="007E5866"/>
    <w:rsid w:val="007E7BF3"/>
    <w:rsid w:val="007F1347"/>
    <w:rsid w:val="007F1714"/>
    <w:rsid w:val="007F2086"/>
    <w:rsid w:val="007F6037"/>
    <w:rsid w:val="007F6AE2"/>
    <w:rsid w:val="00801857"/>
    <w:rsid w:val="00802082"/>
    <w:rsid w:val="00802A64"/>
    <w:rsid w:val="008070D1"/>
    <w:rsid w:val="00807BFD"/>
    <w:rsid w:val="008148A2"/>
    <w:rsid w:val="008159C5"/>
    <w:rsid w:val="00821B07"/>
    <w:rsid w:val="008228F2"/>
    <w:rsid w:val="00824844"/>
    <w:rsid w:val="008254B9"/>
    <w:rsid w:val="008254E3"/>
    <w:rsid w:val="00825B34"/>
    <w:rsid w:val="00830F48"/>
    <w:rsid w:val="008317BE"/>
    <w:rsid w:val="00836BDC"/>
    <w:rsid w:val="00840C26"/>
    <w:rsid w:val="00841D1B"/>
    <w:rsid w:val="008458DA"/>
    <w:rsid w:val="00845A4F"/>
    <w:rsid w:val="00847A45"/>
    <w:rsid w:val="00851570"/>
    <w:rsid w:val="00851804"/>
    <w:rsid w:val="00851842"/>
    <w:rsid w:val="00851EDB"/>
    <w:rsid w:val="008533A1"/>
    <w:rsid w:val="0085529C"/>
    <w:rsid w:val="0086020B"/>
    <w:rsid w:val="00860A99"/>
    <w:rsid w:val="00861417"/>
    <w:rsid w:val="00861C42"/>
    <w:rsid w:val="008659B7"/>
    <w:rsid w:val="00871AC2"/>
    <w:rsid w:val="008725DA"/>
    <w:rsid w:val="008727EB"/>
    <w:rsid w:val="00874A3E"/>
    <w:rsid w:val="0087772E"/>
    <w:rsid w:val="008779AA"/>
    <w:rsid w:val="008818AC"/>
    <w:rsid w:val="00881CE6"/>
    <w:rsid w:val="00882482"/>
    <w:rsid w:val="0088295F"/>
    <w:rsid w:val="00884C0E"/>
    <w:rsid w:val="0089084B"/>
    <w:rsid w:val="008910AD"/>
    <w:rsid w:val="00891968"/>
    <w:rsid w:val="00891DC4"/>
    <w:rsid w:val="00891F6B"/>
    <w:rsid w:val="00894030"/>
    <w:rsid w:val="00894A89"/>
    <w:rsid w:val="008A3CE7"/>
    <w:rsid w:val="008A4115"/>
    <w:rsid w:val="008B491B"/>
    <w:rsid w:val="008C0B4E"/>
    <w:rsid w:val="008C0CC7"/>
    <w:rsid w:val="008C1DB7"/>
    <w:rsid w:val="008D2799"/>
    <w:rsid w:val="008E113B"/>
    <w:rsid w:val="008E3DDA"/>
    <w:rsid w:val="008E4E11"/>
    <w:rsid w:val="008E5D1D"/>
    <w:rsid w:val="008E6B33"/>
    <w:rsid w:val="008F1B2D"/>
    <w:rsid w:val="00901375"/>
    <w:rsid w:val="009023B4"/>
    <w:rsid w:val="009048D8"/>
    <w:rsid w:val="009079D2"/>
    <w:rsid w:val="00907ABE"/>
    <w:rsid w:val="00921140"/>
    <w:rsid w:val="009220C6"/>
    <w:rsid w:val="009224AC"/>
    <w:rsid w:val="0092302E"/>
    <w:rsid w:val="00927AD0"/>
    <w:rsid w:val="009316EC"/>
    <w:rsid w:val="009330D6"/>
    <w:rsid w:val="009358E6"/>
    <w:rsid w:val="00936684"/>
    <w:rsid w:val="00940ED0"/>
    <w:rsid w:val="009411B4"/>
    <w:rsid w:val="00941C3B"/>
    <w:rsid w:val="00942EC1"/>
    <w:rsid w:val="009448AA"/>
    <w:rsid w:val="0094684E"/>
    <w:rsid w:val="00946D44"/>
    <w:rsid w:val="00953293"/>
    <w:rsid w:val="00957804"/>
    <w:rsid w:val="00960E82"/>
    <w:rsid w:val="009619EF"/>
    <w:rsid w:val="00963DC4"/>
    <w:rsid w:val="0096521F"/>
    <w:rsid w:val="00970230"/>
    <w:rsid w:val="0097353A"/>
    <w:rsid w:val="0097534F"/>
    <w:rsid w:val="0098037A"/>
    <w:rsid w:val="00984A58"/>
    <w:rsid w:val="00987C66"/>
    <w:rsid w:val="009906F5"/>
    <w:rsid w:val="00991E30"/>
    <w:rsid w:val="00992CA2"/>
    <w:rsid w:val="009A4850"/>
    <w:rsid w:val="009A70BF"/>
    <w:rsid w:val="009B1B8D"/>
    <w:rsid w:val="009B3497"/>
    <w:rsid w:val="009B3562"/>
    <w:rsid w:val="009B3FF9"/>
    <w:rsid w:val="009B4639"/>
    <w:rsid w:val="009B5E0F"/>
    <w:rsid w:val="009B670F"/>
    <w:rsid w:val="009C132B"/>
    <w:rsid w:val="009C66E6"/>
    <w:rsid w:val="009D2193"/>
    <w:rsid w:val="009D5E44"/>
    <w:rsid w:val="009D62A5"/>
    <w:rsid w:val="009E0827"/>
    <w:rsid w:val="009E340A"/>
    <w:rsid w:val="009E7E6C"/>
    <w:rsid w:val="009F16F3"/>
    <w:rsid w:val="009F2006"/>
    <w:rsid w:val="009F2DA5"/>
    <w:rsid w:val="009F3DB8"/>
    <w:rsid w:val="009F524E"/>
    <w:rsid w:val="009F6659"/>
    <w:rsid w:val="009F688F"/>
    <w:rsid w:val="009F7524"/>
    <w:rsid w:val="00A00578"/>
    <w:rsid w:val="00A005D8"/>
    <w:rsid w:val="00A01CED"/>
    <w:rsid w:val="00A03CCD"/>
    <w:rsid w:val="00A04BF9"/>
    <w:rsid w:val="00A0756D"/>
    <w:rsid w:val="00A1259C"/>
    <w:rsid w:val="00A131B2"/>
    <w:rsid w:val="00A13370"/>
    <w:rsid w:val="00A155C4"/>
    <w:rsid w:val="00A21E11"/>
    <w:rsid w:val="00A251B3"/>
    <w:rsid w:val="00A27324"/>
    <w:rsid w:val="00A31EE5"/>
    <w:rsid w:val="00A32040"/>
    <w:rsid w:val="00A32740"/>
    <w:rsid w:val="00A327D0"/>
    <w:rsid w:val="00A35BFC"/>
    <w:rsid w:val="00A35FB8"/>
    <w:rsid w:val="00A41D15"/>
    <w:rsid w:val="00A45171"/>
    <w:rsid w:val="00A46081"/>
    <w:rsid w:val="00A4653B"/>
    <w:rsid w:val="00A46AB1"/>
    <w:rsid w:val="00A47305"/>
    <w:rsid w:val="00A523D7"/>
    <w:rsid w:val="00A546CB"/>
    <w:rsid w:val="00A57ACE"/>
    <w:rsid w:val="00A60007"/>
    <w:rsid w:val="00A601E8"/>
    <w:rsid w:val="00A6658C"/>
    <w:rsid w:val="00A701FD"/>
    <w:rsid w:val="00A710ED"/>
    <w:rsid w:val="00A710F9"/>
    <w:rsid w:val="00A73D66"/>
    <w:rsid w:val="00A7423E"/>
    <w:rsid w:val="00A74263"/>
    <w:rsid w:val="00A77CC4"/>
    <w:rsid w:val="00A77E7C"/>
    <w:rsid w:val="00A80D39"/>
    <w:rsid w:val="00A81807"/>
    <w:rsid w:val="00A81D8B"/>
    <w:rsid w:val="00A82D0E"/>
    <w:rsid w:val="00A830B0"/>
    <w:rsid w:val="00A83857"/>
    <w:rsid w:val="00A840B8"/>
    <w:rsid w:val="00A866E7"/>
    <w:rsid w:val="00A9210C"/>
    <w:rsid w:val="00A96842"/>
    <w:rsid w:val="00AA2801"/>
    <w:rsid w:val="00AA2B24"/>
    <w:rsid w:val="00AA5892"/>
    <w:rsid w:val="00AA79C8"/>
    <w:rsid w:val="00AB490A"/>
    <w:rsid w:val="00AB5086"/>
    <w:rsid w:val="00AB5410"/>
    <w:rsid w:val="00AB575B"/>
    <w:rsid w:val="00AB7AC5"/>
    <w:rsid w:val="00AB7C1D"/>
    <w:rsid w:val="00AC115A"/>
    <w:rsid w:val="00AC1A3D"/>
    <w:rsid w:val="00AC1ACC"/>
    <w:rsid w:val="00AD1FDD"/>
    <w:rsid w:val="00AD4913"/>
    <w:rsid w:val="00AD5CC1"/>
    <w:rsid w:val="00AD6576"/>
    <w:rsid w:val="00AD6D37"/>
    <w:rsid w:val="00AE003E"/>
    <w:rsid w:val="00AE25F2"/>
    <w:rsid w:val="00AE2788"/>
    <w:rsid w:val="00AE33D2"/>
    <w:rsid w:val="00AE4993"/>
    <w:rsid w:val="00AE5F48"/>
    <w:rsid w:val="00AE734E"/>
    <w:rsid w:val="00AF0AF5"/>
    <w:rsid w:val="00AF19B8"/>
    <w:rsid w:val="00AF22C0"/>
    <w:rsid w:val="00AF602B"/>
    <w:rsid w:val="00B0474E"/>
    <w:rsid w:val="00B04E33"/>
    <w:rsid w:val="00B12A00"/>
    <w:rsid w:val="00B14151"/>
    <w:rsid w:val="00B20536"/>
    <w:rsid w:val="00B205B8"/>
    <w:rsid w:val="00B20A88"/>
    <w:rsid w:val="00B22C54"/>
    <w:rsid w:val="00B23559"/>
    <w:rsid w:val="00B23871"/>
    <w:rsid w:val="00B25169"/>
    <w:rsid w:val="00B31E62"/>
    <w:rsid w:val="00B31EB1"/>
    <w:rsid w:val="00B336A0"/>
    <w:rsid w:val="00B34304"/>
    <w:rsid w:val="00B42A60"/>
    <w:rsid w:val="00B46DB5"/>
    <w:rsid w:val="00B506CC"/>
    <w:rsid w:val="00B50C46"/>
    <w:rsid w:val="00B52778"/>
    <w:rsid w:val="00B52A7A"/>
    <w:rsid w:val="00B53531"/>
    <w:rsid w:val="00B53750"/>
    <w:rsid w:val="00B57CAF"/>
    <w:rsid w:val="00B60666"/>
    <w:rsid w:val="00B6283E"/>
    <w:rsid w:val="00B64EF0"/>
    <w:rsid w:val="00B662CB"/>
    <w:rsid w:val="00B704E7"/>
    <w:rsid w:val="00B70D91"/>
    <w:rsid w:val="00B70F31"/>
    <w:rsid w:val="00B71ED6"/>
    <w:rsid w:val="00B71F22"/>
    <w:rsid w:val="00B7464F"/>
    <w:rsid w:val="00B75725"/>
    <w:rsid w:val="00B81362"/>
    <w:rsid w:val="00B83CE0"/>
    <w:rsid w:val="00B927E7"/>
    <w:rsid w:val="00B93CB5"/>
    <w:rsid w:val="00B945D7"/>
    <w:rsid w:val="00B96C63"/>
    <w:rsid w:val="00B9785D"/>
    <w:rsid w:val="00B97A90"/>
    <w:rsid w:val="00BA0995"/>
    <w:rsid w:val="00BA1B65"/>
    <w:rsid w:val="00BA4F5F"/>
    <w:rsid w:val="00BA7CD5"/>
    <w:rsid w:val="00BB25DE"/>
    <w:rsid w:val="00BB3DB9"/>
    <w:rsid w:val="00BB6974"/>
    <w:rsid w:val="00BC2719"/>
    <w:rsid w:val="00BC500C"/>
    <w:rsid w:val="00BC7A47"/>
    <w:rsid w:val="00BD2310"/>
    <w:rsid w:val="00BD3441"/>
    <w:rsid w:val="00BD5B46"/>
    <w:rsid w:val="00BD5EA8"/>
    <w:rsid w:val="00BD7257"/>
    <w:rsid w:val="00BD73EC"/>
    <w:rsid w:val="00BD74D5"/>
    <w:rsid w:val="00BE25A7"/>
    <w:rsid w:val="00BE2F6B"/>
    <w:rsid w:val="00BE33C0"/>
    <w:rsid w:val="00BE3596"/>
    <w:rsid w:val="00BE37C4"/>
    <w:rsid w:val="00BE42F3"/>
    <w:rsid w:val="00BF0748"/>
    <w:rsid w:val="00BF221B"/>
    <w:rsid w:val="00BF7ED7"/>
    <w:rsid w:val="00C00BE1"/>
    <w:rsid w:val="00C014D8"/>
    <w:rsid w:val="00C03D8B"/>
    <w:rsid w:val="00C04C25"/>
    <w:rsid w:val="00C056B9"/>
    <w:rsid w:val="00C0699B"/>
    <w:rsid w:val="00C076B2"/>
    <w:rsid w:val="00C122B6"/>
    <w:rsid w:val="00C1372D"/>
    <w:rsid w:val="00C14C99"/>
    <w:rsid w:val="00C23039"/>
    <w:rsid w:val="00C25204"/>
    <w:rsid w:val="00C2645C"/>
    <w:rsid w:val="00C31393"/>
    <w:rsid w:val="00C3757D"/>
    <w:rsid w:val="00C4008E"/>
    <w:rsid w:val="00C40539"/>
    <w:rsid w:val="00C4086A"/>
    <w:rsid w:val="00C45B97"/>
    <w:rsid w:val="00C46299"/>
    <w:rsid w:val="00C50DD6"/>
    <w:rsid w:val="00C61BB1"/>
    <w:rsid w:val="00C63917"/>
    <w:rsid w:val="00C6579F"/>
    <w:rsid w:val="00C6665C"/>
    <w:rsid w:val="00C67030"/>
    <w:rsid w:val="00C675F3"/>
    <w:rsid w:val="00C751E9"/>
    <w:rsid w:val="00C8096F"/>
    <w:rsid w:val="00C81488"/>
    <w:rsid w:val="00C82EAD"/>
    <w:rsid w:val="00C8447C"/>
    <w:rsid w:val="00C84754"/>
    <w:rsid w:val="00C84772"/>
    <w:rsid w:val="00C861A3"/>
    <w:rsid w:val="00C87555"/>
    <w:rsid w:val="00C91EC1"/>
    <w:rsid w:val="00C97173"/>
    <w:rsid w:val="00C97610"/>
    <w:rsid w:val="00CA0189"/>
    <w:rsid w:val="00CA1443"/>
    <w:rsid w:val="00CA32A0"/>
    <w:rsid w:val="00CA5A15"/>
    <w:rsid w:val="00CA668C"/>
    <w:rsid w:val="00CB042A"/>
    <w:rsid w:val="00CB4C5A"/>
    <w:rsid w:val="00CB526A"/>
    <w:rsid w:val="00CB6971"/>
    <w:rsid w:val="00CB6AAD"/>
    <w:rsid w:val="00CC1E9F"/>
    <w:rsid w:val="00CC1EF9"/>
    <w:rsid w:val="00CC1FD3"/>
    <w:rsid w:val="00CC386B"/>
    <w:rsid w:val="00CC6AC7"/>
    <w:rsid w:val="00CD39E2"/>
    <w:rsid w:val="00CE2E04"/>
    <w:rsid w:val="00CE37CB"/>
    <w:rsid w:val="00CE5CC8"/>
    <w:rsid w:val="00CF1AF1"/>
    <w:rsid w:val="00CF2672"/>
    <w:rsid w:val="00CF2ACD"/>
    <w:rsid w:val="00D002FC"/>
    <w:rsid w:val="00D01C52"/>
    <w:rsid w:val="00D024A3"/>
    <w:rsid w:val="00D035BA"/>
    <w:rsid w:val="00D04949"/>
    <w:rsid w:val="00D04E7E"/>
    <w:rsid w:val="00D058D7"/>
    <w:rsid w:val="00D06375"/>
    <w:rsid w:val="00D06A60"/>
    <w:rsid w:val="00D07A2A"/>
    <w:rsid w:val="00D1520A"/>
    <w:rsid w:val="00D161FE"/>
    <w:rsid w:val="00D1691B"/>
    <w:rsid w:val="00D209E0"/>
    <w:rsid w:val="00D20C87"/>
    <w:rsid w:val="00D210AA"/>
    <w:rsid w:val="00D2151A"/>
    <w:rsid w:val="00D22F95"/>
    <w:rsid w:val="00D233AF"/>
    <w:rsid w:val="00D24EDD"/>
    <w:rsid w:val="00D2701D"/>
    <w:rsid w:val="00D275C3"/>
    <w:rsid w:val="00D305E5"/>
    <w:rsid w:val="00D3065F"/>
    <w:rsid w:val="00D31001"/>
    <w:rsid w:val="00D32498"/>
    <w:rsid w:val="00D35037"/>
    <w:rsid w:val="00D37B28"/>
    <w:rsid w:val="00D410B0"/>
    <w:rsid w:val="00D4230B"/>
    <w:rsid w:val="00D434D2"/>
    <w:rsid w:val="00D43B26"/>
    <w:rsid w:val="00D45678"/>
    <w:rsid w:val="00D46513"/>
    <w:rsid w:val="00D466AA"/>
    <w:rsid w:val="00D5479A"/>
    <w:rsid w:val="00D54802"/>
    <w:rsid w:val="00D5785E"/>
    <w:rsid w:val="00D57A8F"/>
    <w:rsid w:val="00D57BB6"/>
    <w:rsid w:val="00D6014C"/>
    <w:rsid w:val="00D6157C"/>
    <w:rsid w:val="00D618D6"/>
    <w:rsid w:val="00D62215"/>
    <w:rsid w:val="00D62B23"/>
    <w:rsid w:val="00D64A49"/>
    <w:rsid w:val="00D66F9E"/>
    <w:rsid w:val="00D71272"/>
    <w:rsid w:val="00D734A9"/>
    <w:rsid w:val="00D73D59"/>
    <w:rsid w:val="00D73F28"/>
    <w:rsid w:val="00D759A1"/>
    <w:rsid w:val="00D77BE6"/>
    <w:rsid w:val="00D800E3"/>
    <w:rsid w:val="00D809C9"/>
    <w:rsid w:val="00D82E93"/>
    <w:rsid w:val="00D82F10"/>
    <w:rsid w:val="00D83814"/>
    <w:rsid w:val="00D937B2"/>
    <w:rsid w:val="00D96F54"/>
    <w:rsid w:val="00DA2CFE"/>
    <w:rsid w:val="00DA6F0A"/>
    <w:rsid w:val="00DB0185"/>
    <w:rsid w:val="00DB0320"/>
    <w:rsid w:val="00DB0DC2"/>
    <w:rsid w:val="00DB1615"/>
    <w:rsid w:val="00DB1C09"/>
    <w:rsid w:val="00DB3672"/>
    <w:rsid w:val="00DB3C6B"/>
    <w:rsid w:val="00DB46FE"/>
    <w:rsid w:val="00DB5B2D"/>
    <w:rsid w:val="00DC0C56"/>
    <w:rsid w:val="00DC321A"/>
    <w:rsid w:val="00DD0BD7"/>
    <w:rsid w:val="00DD10CA"/>
    <w:rsid w:val="00DD2586"/>
    <w:rsid w:val="00DD31BB"/>
    <w:rsid w:val="00DD4E5F"/>
    <w:rsid w:val="00DD5F6B"/>
    <w:rsid w:val="00DE140D"/>
    <w:rsid w:val="00DE244D"/>
    <w:rsid w:val="00DE2CBC"/>
    <w:rsid w:val="00DF3C7E"/>
    <w:rsid w:val="00DF5756"/>
    <w:rsid w:val="00DF5BFE"/>
    <w:rsid w:val="00DF6C1A"/>
    <w:rsid w:val="00E03514"/>
    <w:rsid w:val="00E06273"/>
    <w:rsid w:val="00E068D8"/>
    <w:rsid w:val="00E0755A"/>
    <w:rsid w:val="00E07C17"/>
    <w:rsid w:val="00E104BF"/>
    <w:rsid w:val="00E10D15"/>
    <w:rsid w:val="00E1109E"/>
    <w:rsid w:val="00E132A3"/>
    <w:rsid w:val="00E1429A"/>
    <w:rsid w:val="00E14CE5"/>
    <w:rsid w:val="00E14D83"/>
    <w:rsid w:val="00E20D25"/>
    <w:rsid w:val="00E21041"/>
    <w:rsid w:val="00E215D5"/>
    <w:rsid w:val="00E22CA9"/>
    <w:rsid w:val="00E25B53"/>
    <w:rsid w:val="00E3140A"/>
    <w:rsid w:val="00E325BA"/>
    <w:rsid w:val="00E328DB"/>
    <w:rsid w:val="00E33EDD"/>
    <w:rsid w:val="00E3466C"/>
    <w:rsid w:val="00E34B41"/>
    <w:rsid w:val="00E404E1"/>
    <w:rsid w:val="00E40DD2"/>
    <w:rsid w:val="00E40F6A"/>
    <w:rsid w:val="00E46090"/>
    <w:rsid w:val="00E462DD"/>
    <w:rsid w:val="00E46FA4"/>
    <w:rsid w:val="00E47013"/>
    <w:rsid w:val="00E47551"/>
    <w:rsid w:val="00E5589B"/>
    <w:rsid w:val="00E577B0"/>
    <w:rsid w:val="00E57C21"/>
    <w:rsid w:val="00E62A6D"/>
    <w:rsid w:val="00E656FC"/>
    <w:rsid w:val="00E65DB3"/>
    <w:rsid w:val="00E66795"/>
    <w:rsid w:val="00E72EAC"/>
    <w:rsid w:val="00E74643"/>
    <w:rsid w:val="00E7485E"/>
    <w:rsid w:val="00E7586F"/>
    <w:rsid w:val="00E910BB"/>
    <w:rsid w:val="00E92471"/>
    <w:rsid w:val="00E92BCC"/>
    <w:rsid w:val="00E96E0A"/>
    <w:rsid w:val="00EA0EAB"/>
    <w:rsid w:val="00EA1C3B"/>
    <w:rsid w:val="00EA2004"/>
    <w:rsid w:val="00EA2138"/>
    <w:rsid w:val="00EA65E2"/>
    <w:rsid w:val="00EB144D"/>
    <w:rsid w:val="00EB56F7"/>
    <w:rsid w:val="00EB5A39"/>
    <w:rsid w:val="00EC20BF"/>
    <w:rsid w:val="00EC267E"/>
    <w:rsid w:val="00ED1ACD"/>
    <w:rsid w:val="00ED2FD5"/>
    <w:rsid w:val="00ED6BC6"/>
    <w:rsid w:val="00EE4353"/>
    <w:rsid w:val="00EE752C"/>
    <w:rsid w:val="00EF18E0"/>
    <w:rsid w:val="00EF1941"/>
    <w:rsid w:val="00EF3167"/>
    <w:rsid w:val="00EF381F"/>
    <w:rsid w:val="00EF40AE"/>
    <w:rsid w:val="00F004C9"/>
    <w:rsid w:val="00F03AD5"/>
    <w:rsid w:val="00F05274"/>
    <w:rsid w:val="00F10BB3"/>
    <w:rsid w:val="00F11341"/>
    <w:rsid w:val="00F12324"/>
    <w:rsid w:val="00F14B60"/>
    <w:rsid w:val="00F15D53"/>
    <w:rsid w:val="00F20544"/>
    <w:rsid w:val="00F213FA"/>
    <w:rsid w:val="00F2186E"/>
    <w:rsid w:val="00F218C1"/>
    <w:rsid w:val="00F23263"/>
    <w:rsid w:val="00F23F8B"/>
    <w:rsid w:val="00F25D66"/>
    <w:rsid w:val="00F26277"/>
    <w:rsid w:val="00F2684B"/>
    <w:rsid w:val="00F26D57"/>
    <w:rsid w:val="00F304F4"/>
    <w:rsid w:val="00F310FA"/>
    <w:rsid w:val="00F31DD2"/>
    <w:rsid w:val="00F32634"/>
    <w:rsid w:val="00F34B38"/>
    <w:rsid w:val="00F35C03"/>
    <w:rsid w:val="00F36493"/>
    <w:rsid w:val="00F365F7"/>
    <w:rsid w:val="00F3778F"/>
    <w:rsid w:val="00F40FD3"/>
    <w:rsid w:val="00F43A16"/>
    <w:rsid w:val="00F45C70"/>
    <w:rsid w:val="00F47741"/>
    <w:rsid w:val="00F518BA"/>
    <w:rsid w:val="00F531CE"/>
    <w:rsid w:val="00F55EC1"/>
    <w:rsid w:val="00F561C4"/>
    <w:rsid w:val="00F65541"/>
    <w:rsid w:val="00F679B7"/>
    <w:rsid w:val="00F67E19"/>
    <w:rsid w:val="00F71AA7"/>
    <w:rsid w:val="00F72E8A"/>
    <w:rsid w:val="00F73BC0"/>
    <w:rsid w:val="00F74212"/>
    <w:rsid w:val="00F751B5"/>
    <w:rsid w:val="00F7582C"/>
    <w:rsid w:val="00F76832"/>
    <w:rsid w:val="00F81DFE"/>
    <w:rsid w:val="00F84A1A"/>
    <w:rsid w:val="00F86DB5"/>
    <w:rsid w:val="00F87DE0"/>
    <w:rsid w:val="00F90D8B"/>
    <w:rsid w:val="00F94E6F"/>
    <w:rsid w:val="00F9628A"/>
    <w:rsid w:val="00F97B11"/>
    <w:rsid w:val="00FA3498"/>
    <w:rsid w:val="00FA3705"/>
    <w:rsid w:val="00FA3812"/>
    <w:rsid w:val="00FA48AD"/>
    <w:rsid w:val="00FA71CC"/>
    <w:rsid w:val="00FB03B3"/>
    <w:rsid w:val="00FB1DDF"/>
    <w:rsid w:val="00FB31C6"/>
    <w:rsid w:val="00FB445E"/>
    <w:rsid w:val="00FB5499"/>
    <w:rsid w:val="00FC2328"/>
    <w:rsid w:val="00FC2515"/>
    <w:rsid w:val="00FC2B8A"/>
    <w:rsid w:val="00FC4317"/>
    <w:rsid w:val="00FC46F3"/>
    <w:rsid w:val="00FC4859"/>
    <w:rsid w:val="00FC5DF9"/>
    <w:rsid w:val="00FD1005"/>
    <w:rsid w:val="00FD1C36"/>
    <w:rsid w:val="00FD6E59"/>
    <w:rsid w:val="00FD7709"/>
    <w:rsid w:val="00FE25F9"/>
    <w:rsid w:val="00FE33FA"/>
    <w:rsid w:val="00FE4A9F"/>
    <w:rsid w:val="00FE7A71"/>
    <w:rsid w:val="00FE7F9E"/>
    <w:rsid w:val="00FF00BD"/>
    <w:rsid w:val="00FF2128"/>
    <w:rsid w:val="00FF248E"/>
    <w:rsid w:val="00FF2DB5"/>
    <w:rsid w:val="00FF4B0E"/>
    <w:rsid w:val="00FF4DEF"/>
    <w:rsid w:val="00FF56E3"/>
    <w:rsid w:val="00FF5912"/>
    <w:rsid w:val="38ABE5F5"/>
    <w:rsid w:val="51DE6B50"/>
    <w:rsid w:val="66F673A3"/>
    <w:rsid w:val="773FD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E3A99"/>
  <w15:docId w15:val="{D1B8E34A-1CCA-4238-A9FC-37E124CD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iPriority="0"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rsid w:val="0066302B"/>
    <w:pPr>
      <w:keepNext/>
      <w:keepLines/>
      <w:spacing w:before="100" w:beforeAutospacing="1" w:after="100" w:afterAutospacing="1" w:line="360" w:lineRule="auto"/>
      <w:outlineLvl w:val="0"/>
    </w:pPr>
    <w:rPr>
      <w:rFonts w:eastAsia="黑体"/>
      <w:b/>
      <w:bCs/>
      <w:kern w:val="44"/>
      <w:sz w:val="30"/>
      <w:szCs w:val="44"/>
    </w:rPr>
  </w:style>
  <w:style w:type="paragraph" w:styleId="2">
    <w:name w:val="heading 2"/>
    <w:basedOn w:val="a"/>
    <w:next w:val="a"/>
    <w:link w:val="2Char"/>
    <w:uiPriority w:val="9"/>
    <w:unhideWhenUsed/>
    <w:qFormat/>
    <w:rsid w:val="0066302B"/>
    <w:pPr>
      <w:keepNext/>
      <w:keepLines/>
      <w:spacing w:before="100" w:beforeAutospacing="1" w:after="100" w:afterAutospacing="1" w:line="360" w:lineRule="auto"/>
      <w:outlineLvl w:val="1"/>
    </w:pPr>
    <w:rPr>
      <w:rFonts w:asciiTheme="majorHAnsi" w:eastAsia="楷体" w:hAnsiTheme="majorHAnsi" w:cstheme="majorBidi"/>
      <w:b/>
      <w:bCs/>
      <w:sz w:val="28"/>
      <w:szCs w:val="32"/>
    </w:rPr>
  </w:style>
  <w:style w:type="paragraph" w:styleId="3">
    <w:name w:val="heading 3"/>
    <w:basedOn w:val="a"/>
    <w:next w:val="a"/>
    <w:link w:val="3Char"/>
    <w:uiPriority w:val="9"/>
    <w:unhideWhenUsed/>
    <w:qFormat/>
    <w:rsid w:val="0066302B"/>
    <w:pPr>
      <w:keepNext/>
      <w:keepLines/>
      <w:spacing w:before="100" w:beforeAutospacing="1" w:after="100" w:afterAutospacing="1" w:line="360"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nhideWhenUsed/>
    <w:pPr>
      <w:jc w:val="left"/>
    </w:pPr>
  </w:style>
  <w:style w:type="paragraph" w:styleId="a5">
    <w:name w:val="Balloon Text"/>
    <w:basedOn w:val="a"/>
    <w:link w:val="Char1"/>
    <w:uiPriority w:val="99"/>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uiPriority w:val="99"/>
    <w:unhideWhenUsed/>
    <w:qFormat/>
    <w:pPr>
      <w:snapToGrid w:val="0"/>
      <w:jc w:val="left"/>
    </w:pPr>
    <w:rPr>
      <w:sz w:val="18"/>
      <w:szCs w:val="18"/>
    </w:rPr>
  </w:style>
  <w:style w:type="character" w:styleId="a9">
    <w:name w:val="Emphasis"/>
    <w:basedOn w:val="a0"/>
    <w:uiPriority w:val="20"/>
    <w:qFormat/>
    <w:rPr>
      <w:color w:val="F73131"/>
    </w:rPr>
  </w:style>
  <w:style w:type="character" w:styleId="aa">
    <w:name w:val="annotation reference"/>
    <w:basedOn w:val="a0"/>
    <w:unhideWhenUsed/>
    <w:rPr>
      <w:sz w:val="21"/>
      <w:szCs w:val="21"/>
    </w:rPr>
  </w:style>
  <w:style w:type="character" w:styleId="ab">
    <w:name w:val="footnote reference"/>
    <w:basedOn w:val="a0"/>
    <w:uiPriority w:val="99"/>
    <w:unhideWhenUsed/>
    <w:qFormat/>
    <w:rPr>
      <w:vertAlign w:val="superscript"/>
    </w:rPr>
  </w:style>
  <w:style w:type="character" w:customStyle="1" w:styleId="Char4">
    <w:name w:val="脚注文本 Char"/>
    <w:basedOn w:val="a0"/>
    <w:link w:val="a8"/>
    <w:uiPriority w:val="99"/>
    <w:qFormat/>
    <w:rPr>
      <w:sz w:val="18"/>
      <w:szCs w:val="18"/>
    </w:rPr>
  </w:style>
  <w:style w:type="character" w:customStyle="1" w:styleId="content-right1thtn1">
    <w:name w:val="content-right_1thtn1"/>
    <w:basedOn w:val="a0"/>
    <w:qFormat/>
  </w:style>
  <w:style w:type="character" w:customStyle="1" w:styleId="Char3">
    <w:name w:val="页眉 Char"/>
    <w:basedOn w:val="a0"/>
    <w:link w:val="a7"/>
    <w:uiPriority w:val="99"/>
    <w:rPr>
      <w:sz w:val="18"/>
      <w:szCs w:val="18"/>
    </w:rPr>
  </w:style>
  <w:style w:type="character" w:customStyle="1" w:styleId="Char2">
    <w:name w:val="页脚 Char"/>
    <w:basedOn w:val="a0"/>
    <w:link w:val="a6"/>
    <w:uiPriority w:val="99"/>
    <w:rPr>
      <w:sz w:val="18"/>
      <w:szCs w:val="18"/>
    </w:rPr>
  </w:style>
  <w:style w:type="character" w:customStyle="1" w:styleId="Char0">
    <w:name w:val="批注文字 Char"/>
    <w:basedOn w:val="a0"/>
    <w:link w:val="a4"/>
  </w:style>
  <w:style w:type="character" w:customStyle="1" w:styleId="Char">
    <w:name w:val="批注主题 Char"/>
    <w:basedOn w:val="Char0"/>
    <w:link w:val="a3"/>
    <w:uiPriority w:val="99"/>
    <w:semiHidden/>
    <w:rPr>
      <w:b/>
      <w:bCs/>
    </w:rPr>
  </w:style>
  <w:style w:type="character" w:customStyle="1" w:styleId="Char1">
    <w:name w:val="批注框文本 Char"/>
    <w:basedOn w:val="a0"/>
    <w:link w:val="a5"/>
    <w:uiPriority w:val="99"/>
    <w:semiHidden/>
    <w:qFormat/>
    <w:rPr>
      <w:sz w:val="18"/>
      <w:szCs w:val="18"/>
    </w:rPr>
  </w:style>
  <w:style w:type="character" w:customStyle="1" w:styleId="1Char">
    <w:name w:val="标题 1 Char"/>
    <w:basedOn w:val="a0"/>
    <w:link w:val="1"/>
    <w:uiPriority w:val="9"/>
    <w:rsid w:val="0066302B"/>
    <w:rPr>
      <w:rFonts w:eastAsia="黑体"/>
      <w:b/>
      <w:bCs/>
      <w:kern w:val="44"/>
      <w:sz w:val="30"/>
      <w:szCs w:val="44"/>
    </w:rPr>
  </w:style>
  <w:style w:type="character" w:customStyle="1" w:styleId="2Char">
    <w:name w:val="标题 2 Char"/>
    <w:basedOn w:val="a0"/>
    <w:link w:val="2"/>
    <w:uiPriority w:val="9"/>
    <w:rsid w:val="0066302B"/>
    <w:rPr>
      <w:rFonts w:asciiTheme="majorHAnsi" w:eastAsia="楷体" w:hAnsiTheme="majorHAnsi" w:cstheme="majorBidi"/>
      <w:b/>
      <w:bCs/>
      <w:kern w:val="2"/>
      <w:sz w:val="28"/>
      <w:szCs w:val="32"/>
    </w:rPr>
  </w:style>
  <w:style w:type="character" w:customStyle="1" w:styleId="3Char">
    <w:name w:val="标题 3 Char"/>
    <w:basedOn w:val="a0"/>
    <w:link w:val="3"/>
    <w:uiPriority w:val="9"/>
    <w:rsid w:val="0066302B"/>
    <w:rPr>
      <w:b/>
      <w:bCs/>
      <w:kern w:val="2"/>
      <w:sz w:val="21"/>
      <w:szCs w:val="32"/>
    </w:rPr>
  </w:style>
  <w:style w:type="character" w:styleId="ac">
    <w:name w:val="Hyperlink"/>
    <w:basedOn w:val="a0"/>
    <w:uiPriority w:val="99"/>
    <w:unhideWhenUsed/>
    <w:rsid w:val="00DB1615"/>
    <w:rPr>
      <w:strike w:val="0"/>
      <w:dstrike w:val="0"/>
      <w:color w:val="506697"/>
      <w:u w:val="none"/>
      <w:effect w:val="none"/>
      <w:shd w:val="clear" w:color="auto" w:fill="auto"/>
    </w:rPr>
  </w:style>
  <w:style w:type="character" w:customStyle="1" w:styleId="font21">
    <w:name w:val="font21"/>
    <w:basedOn w:val="a0"/>
    <w:qFormat/>
    <w:rsid w:val="007822A1"/>
    <w:rPr>
      <w:rFonts w:ascii="Times New Roman" w:hAnsi="Times New Roman" w:cs="Times New Roman" w:hint="default"/>
      <w:color w:val="000000"/>
      <w:sz w:val="21"/>
      <w:szCs w:val="21"/>
      <w:u w:val="none"/>
    </w:rPr>
  </w:style>
  <w:style w:type="character" w:customStyle="1" w:styleId="font51">
    <w:name w:val="font51"/>
    <w:basedOn w:val="a0"/>
    <w:qFormat/>
    <w:rsid w:val="007822A1"/>
    <w:rPr>
      <w:rFonts w:ascii="Times New Roman" w:hAnsi="Times New Roman" w:cs="Times New Roman" w:hint="default"/>
      <w:i/>
      <w:iCs/>
      <w:color w:val="000000"/>
      <w:sz w:val="21"/>
      <w:szCs w:val="21"/>
      <w:u w:val="none"/>
    </w:rPr>
  </w:style>
  <w:style w:type="character" w:customStyle="1" w:styleId="content-right1thtn">
    <w:name w:val="content-right_1thtn"/>
    <w:basedOn w:val="a0"/>
    <w:rsid w:val="00E1109E"/>
  </w:style>
  <w:style w:type="table" w:styleId="ad">
    <w:name w:val="Table Grid"/>
    <w:basedOn w:val="a1"/>
    <w:rsid w:val="00676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5F277B"/>
    <w:rPr>
      <w:kern w:val="2"/>
      <w:sz w:val="21"/>
      <w:szCs w:val="22"/>
    </w:rPr>
  </w:style>
  <w:style w:type="character" w:customStyle="1" w:styleId="bjh-p">
    <w:name w:val="bjh-p"/>
    <w:basedOn w:val="a0"/>
    <w:rsid w:val="00953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745986">
      <w:bodyDiv w:val="1"/>
      <w:marLeft w:val="0"/>
      <w:marRight w:val="0"/>
      <w:marTop w:val="0"/>
      <w:marBottom w:val="0"/>
      <w:divBdr>
        <w:top w:val="none" w:sz="0" w:space="0" w:color="auto"/>
        <w:left w:val="none" w:sz="0" w:space="0" w:color="auto"/>
        <w:bottom w:val="none" w:sz="0" w:space="0" w:color="auto"/>
        <w:right w:val="none" w:sz="0" w:space="0" w:color="auto"/>
      </w:divBdr>
      <w:divsChild>
        <w:div w:id="1237085106">
          <w:marLeft w:val="0"/>
          <w:marRight w:val="0"/>
          <w:marTop w:val="0"/>
          <w:marBottom w:val="0"/>
          <w:divBdr>
            <w:top w:val="none" w:sz="0" w:space="0" w:color="auto"/>
            <w:left w:val="none" w:sz="0" w:space="0" w:color="auto"/>
            <w:bottom w:val="none" w:sz="0" w:space="0" w:color="auto"/>
            <w:right w:val="none" w:sz="0" w:space="0" w:color="auto"/>
          </w:divBdr>
          <w:divsChild>
            <w:div w:id="625160704">
              <w:marLeft w:val="0"/>
              <w:marRight w:val="0"/>
              <w:marTop w:val="0"/>
              <w:marBottom w:val="0"/>
              <w:divBdr>
                <w:top w:val="none" w:sz="0" w:space="0" w:color="auto"/>
                <w:left w:val="none" w:sz="0" w:space="0" w:color="auto"/>
                <w:bottom w:val="none" w:sz="0" w:space="0" w:color="auto"/>
                <w:right w:val="none" w:sz="0" w:space="0" w:color="auto"/>
              </w:divBdr>
              <w:divsChild>
                <w:div w:id="714046780">
                  <w:marLeft w:val="0"/>
                  <w:marRight w:val="0"/>
                  <w:marTop w:val="0"/>
                  <w:marBottom w:val="0"/>
                  <w:divBdr>
                    <w:top w:val="none" w:sz="0" w:space="0" w:color="auto"/>
                    <w:left w:val="none" w:sz="0" w:space="0" w:color="auto"/>
                    <w:bottom w:val="none" w:sz="0" w:space="0" w:color="auto"/>
                    <w:right w:val="none" w:sz="0" w:space="0" w:color="auto"/>
                  </w:divBdr>
                  <w:divsChild>
                    <w:div w:id="1688361067">
                      <w:marLeft w:val="0"/>
                      <w:marRight w:val="0"/>
                      <w:marTop w:val="0"/>
                      <w:marBottom w:val="0"/>
                      <w:divBdr>
                        <w:top w:val="none" w:sz="0" w:space="0" w:color="auto"/>
                        <w:left w:val="none" w:sz="0" w:space="0" w:color="auto"/>
                        <w:bottom w:val="none" w:sz="0" w:space="0" w:color="auto"/>
                        <w:right w:val="none" w:sz="0" w:space="0" w:color="auto"/>
                      </w:divBdr>
                      <w:divsChild>
                        <w:div w:id="2068868910">
                          <w:marLeft w:val="0"/>
                          <w:marRight w:val="0"/>
                          <w:marTop w:val="0"/>
                          <w:marBottom w:val="0"/>
                          <w:divBdr>
                            <w:top w:val="none" w:sz="0" w:space="0" w:color="auto"/>
                            <w:left w:val="none" w:sz="0" w:space="0" w:color="auto"/>
                            <w:bottom w:val="none" w:sz="0" w:space="0" w:color="auto"/>
                            <w:right w:val="none" w:sz="0" w:space="0" w:color="auto"/>
                          </w:divBdr>
                          <w:divsChild>
                            <w:div w:id="1457791115">
                              <w:marLeft w:val="0"/>
                              <w:marRight w:val="0"/>
                              <w:marTop w:val="0"/>
                              <w:marBottom w:val="0"/>
                              <w:divBdr>
                                <w:top w:val="none" w:sz="0" w:space="0" w:color="auto"/>
                                <w:left w:val="none" w:sz="0" w:space="0" w:color="auto"/>
                                <w:bottom w:val="none" w:sz="0" w:space="0" w:color="auto"/>
                                <w:right w:val="none" w:sz="0" w:space="0" w:color="auto"/>
                              </w:divBdr>
                              <w:divsChild>
                                <w:div w:id="554245992">
                                  <w:marLeft w:val="0"/>
                                  <w:marRight w:val="0"/>
                                  <w:marTop w:val="0"/>
                                  <w:marBottom w:val="0"/>
                                  <w:divBdr>
                                    <w:top w:val="none" w:sz="0" w:space="0" w:color="auto"/>
                                    <w:left w:val="none" w:sz="0" w:space="0" w:color="auto"/>
                                    <w:bottom w:val="none" w:sz="0" w:space="0" w:color="auto"/>
                                    <w:right w:val="none" w:sz="0" w:space="0" w:color="auto"/>
                                  </w:divBdr>
                                  <w:divsChild>
                                    <w:div w:id="1235310622">
                                      <w:marLeft w:val="0"/>
                                      <w:marRight w:val="0"/>
                                      <w:marTop w:val="0"/>
                                      <w:marBottom w:val="0"/>
                                      <w:divBdr>
                                        <w:top w:val="none" w:sz="0" w:space="0" w:color="auto"/>
                                        <w:left w:val="none" w:sz="0" w:space="0" w:color="auto"/>
                                        <w:bottom w:val="none" w:sz="0" w:space="0" w:color="auto"/>
                                        <w:right w:val="none" w:sz="0" w:space="0" w:color="auto"/>
                                      </w:divBdr>
                                      <w:divsChild>
                                        <w:div w:id="547111796">
                                          <w:marLeft w:val="0"/>
                                          <w:marRight w:val="0"/>
                                          <w:marTop w:val="0"/>
                                          <w:marBottom w:val="0"/>
                                          <w:divBdr>
                                            <w:top w:val="none" w:sz="0" w:space="0" w:color="auto"/>
                                            <w:left w:val="none" w:sz="0" w:space="0" w:color="auto"/>
                                            <w:bottom w:val="none" w:sz="0" w:space="0" w:color="auto"/>
                                            <w:right w:val="none" w:sz="0" w:space="0" w:color="auto"/>
                                          </w:divBdr>
                                          <w:divsChild>
                                            <w:div w:id="1962495192">
                                              <w:marLeft w:val="0"/>
                                              <w:marRight w:val="0"/>
                                              <w:marTop w:val="0"/>
                                              <w:marBottom w:val="0"/>
                                              <w:divBdr>
                                                <w:top w:val="none" w:sz="0" w:space="0" w:color="auto"/>
                                                <w:left w:val="none" w:sz="0" w:space="0" w:color="auto"/>
                                                <w:bottom w:val="none" w:sz="0" w:space="0" w:color="auto"/>
                                                <w:right w:val="none" w:sz="0" w:space="0" w:color="auto"/>
                                              </w:divBdr>
                                              <w:divsChild>
                                                <w:div w:id="1414739451">
                                                  <w:marLeft w:val="0"/>
                                                  <w:marRight w:val="0"/>
                                                  <w:marTop w:val="0"/>
                                                  <w:marBottom w:val="0"/>
                                                  <w:divBdr>
                                                    <w:top w:val="none" w:sz="0" w:space="0" w:color="auto"/>
                                                    <w:left w:val="none" w:sz="0" w:space="0" w:color="auto"/>
                                                    <w:bottom w:val="none" w:sz="0" w:space="0" w:color="auto"/>
                                                    <w:right w:val="none" w:sz="0" w:space="0" w:color="auto"/>
                                                  </w:divBdr>
                                                  <w:divsChild>
                                                    <w:div w:id="60812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38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Users\zhenlong\Desktop\2024&#20013;&#22269;&#37329;&#34701;&#25253;&#21578;\&#20027;&#25253;&#21578;\data\&#22269;&#38469;&#25903;&#20184;_&#24066;&#22330;&#20221;&#39069;_&#20154;&#27665;&#2406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WeChat%20Files\wxid_w07n1ug110a032\FileStorage\File\2025-01\&#20316;&#22270;%20(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WeChat%20Files\wxid_w07n1ug110a032\FileStorage\File\2025-01\&#20013;&#32654;&#32593;&#19978;&#25903;&#20184;&#25240;&#32447;&#22270;.xlsx"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WeChat%20Files\wxid_w07n1ug110a032\FileStorage\File\2025-01\&#25968;&#25454;0120(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WeChat%20Files\wxid_w07n1ug110a032\FileStorage\File\2025-01\&#25968;&#25454;0120(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WeChat%20Files\wxid_w07n1ug110a032\FileStorage\File\2025-01\&#32654;&#33521;&#20132;&#26131;&#25152;&#19978;&#24066;&#30340;&#22269;&#20869;&#20844;&#21496;&#19982;&#22806;&#22269;&#20844;&#21496;&#2596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Zhengls\Desktop\&#20027;&#25253;&#21578;-&#20013;&#22269;&#37329;&#34701;&#25253;&#21578;\&#21103;&#26412;&#20316;&#22270;%2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Users\wangyao\Desktop\&#30011;&#22270;%2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Zhengls\Desktop\&#20027;&#25253;&#21578;-&#20013;&#22269;&#37329;&#34701;&#25253;&#21578;\&#21103;&#26412;&#30011;&#22270;--&#36164;&#20135;&#36127;&#2053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536483069743931E-2"/>
          <c:y val="6.9669011308074097E-2"/>
          <c:w val="0.93976343798517314"/>
          <c:h val="0.76557135435281631"/>
        </c:manualLayout>
      </c:layout>
      <c:areaChart>
        <c:grouping val="stacked"/>
        <c:varyColors val="0"/>
        <c:ser>
          <c:idx val="0"/>
          <c:order val="0"/>
          <c:tx>
            <c:strRef>
              <c:f>Sheet1!$B$1</c:f>
              <c:strCache>
                <c:ptCount val="1"/>
                <c:pt idx="0">
                  <c:v>美元</c:v>
                </c:pt>
              </c:strCache>
            </c:strRef>
          </c:tx>
          <c:spPr>
            <a:solidFill>
              <a:srgbClr val="FFC000"/>
            </a:solidFill>
            <a:ln>
              <a:noFill/>
            </a:ln>
            <a:effectLst/>
          </c:spPr>
          <c:cat>
            <c:numRef>
              <c:f>Sheet1!$A$2:$A$130</c:f>
              <c:numCache>
                <c:formatCode>yyyy\-mm</c:formatCode>
                <c:ptCount val="129"/>
                <c:pt idx="0">
                  <c:v>45626</c:v>
                </c:pt>
                <c:pt idx="1">
                  <c:v>45596</c:v>
                </c:pt>
                <c:pt idx="2">
                  <c:v>45565</c:v>
                </c:pt>
                <c:pt idx="3">
                  <c:v>45535</c:v>
                </c:pt>
                <c:pt idx="4">
                  <c:v>45504</c:v>
                </c:pt>
                <c:pt idx="5">
                  <c:v>45473</c:v>
                </c:pt>
                <c:pt idx="6">
                  <c:v>45443</c:v>
                </c:pt>
                <c:pt idx="7">
                  <c:v>45412</c:v>
                </c:pt>
                <c:pt idx="8">
                  <c:v>45382</c:v>
                </c:pt>
                <c:pt idx="9">
                  <c:v>45351</c:v>
                </c:pt>
                <c:pt idx="10">
                  <c:v>45322</c:v>
                </c:pt>
                <c:pt idx="11">
                  <c:v>45291</c:v>
                </c:pt>
                <c:pt idx="12">
                  <c:v>45260</c:v>
                </c:pt>
                <c:pt idx="13">
                  <c:v>45230</c:v>
                </c:pt>
                <c:pt idx="14">
                  <c:v>45199</c:v>
                </c:pt>
                <c:pt idx="15">
                  <c:v>45169</c:v>
                </c:pt>
                <c:pt idx="16">
                  <c:v>45138</c:v>
                </c:pt>
                <c:pt idx="17">
                  <c:v>45107</c:v>
                </c:pt>
                <c:pt idx="18">
                  <c:v>45077</c:v>
                </c:pt>
                <c:pt idx="19">
                  <c:v>45046</c:v>
                </c:pt>
                <c:pt idx="20">
                  <c:v>45016</c:v>
                </c:pt>
                <c:pt idx="21">
                  <c:v>44985</c:v>
                </c:pt>
                <c:pt idx="22">
                  <c:v>44957</c:v>
                </c:pt>
                <c:pt idx="23">
                  <c:v>44926</c:v>
                </c:pt>
                <c:pt idx="24">
                  <c:v>44895</c:v>
                </c:pt>
                <c:pt idx="25">
                  <c:v>44865</c:v>
                </c:pt>
                <c:pt idx="26">
                  <c:v>44834</c:v>
                </c:pt>
                <c:pt idx="27">
                  <c:v>44804</c:v>
                </c:pt>
                <c:pt idx="28">
                  <c:v>44773</c:v>
                </c:pt>
                <c:pt idx="29">
                  <c:v>44742</c:v>
                </c:pt>
                <c:pt idx="30">
                  <c:v>44712</c:v>
                </c:pt>
                <c:pt idx="31">
                  <c:v>44681</c:v>
                </c:pt>
                <c:pt idx="32">
                  <c:v>44651</c:v>
                </c:pt>
                <c:pt idx="33">
                  <c:v>44620</c:v>
                </c:pt>
                <c:pt idx="34">
                  <c:v>44592</c:v>
                </c:pt>
                <c:pt idx="35">
                  <c:v>44561</c:v>
                </c:pt>
                <c:pt idx="36">
                  <c:v>44530</c:v>
                </c:pt>
                <c:pt idx="37">
                  <c:v>44500</c:v>
                </c:pt>
                <c:pt idx="38">
                  <c:v>44469</c:v>
                </c:pt>
                <c:pt idx="39">
                  <c:v>44439</c:v>
                </c:pt>
                <c:pt idx="40">
                  <c:v>44408</c:v>
                </c:pt>
                <c:pt idx="41">
                  <c:v>44377</c:v>
                </c:pt>
                <c:pt idx="42">
                  <c:v>44347</c:v>
                </c:pt>
                <c:pt idx="43">
                  <c:v>44316</c:v>
                </c:pt>
                <c:pt idx="44">
                  <c:v>44286</c:v>
                </c:pt>
                <c:pt idx="45">
                  <c:v>44255</c:v>
                </c:pt>
                <c:pt idx="46">
                  <c:v>44227</c:v>
                </c:pt>
                <c:pt idx="47">
                  <c:v>44196</c:v>
                </c:pt>
                <c:pt idx="48">
                  <c:v>44165</c:v>
                </c:pt>
                <c:pt idx="49">
                  <c:v>44135</c:v>
                </c:pt>
                <c:pt idx="50">
                  <c:v>44104</c:v>
                </c:pt>
                <c:pt idx="51">
                  <c:v>44074</c:v>
                </c:pt>
                <c:pt idx="52">
                  <c:v>44043</c:v>
                </c:pt>
                <c:pt idx="53">
                  <c:v>44012</c:v>
                </c:pt>
                <c:pt idx="54">
                  <c:v>43982</c:v>
                </c:pt>
                <c:pt idx="55">
                  <c:v>43951</c:v>
                </c:pt>
                <c:pt idx="56">
                  <c:v>43921</c:v>
                </c:pt>
                <c:pt idx="57">
                  <c:v>43890</c:v>
                </c:pt>
                <c:pt idx="58">
                  <c:v>43861</c:v>
                </c:pt>
                <c:pt idx="59">
                  <c:v>43830</c:v>
                </c:pt>
                <c:pt idx="60">
                  <c:v>43799</c:v>
                </c:pt>
                <c:pt idx="61">
                  <c:v>43769</c:v>
                </c:pt>
                <c:pt idx="62">
                  <c:v>43738</c:v>
                </c:pt>
                <c:pt idx="63">
                  <c:v>43708</c:v>
                </c:pt>
                <c:pt idx="64">
                  <c:v>43677</c:v>
                </c:pt>
                <c:pt idx="65">
                  <c:v>43646</c:v>
                </c:pt>
                <c:pt idx="66">
                  <c:v>43616</c:v>
                </c:pt>
                <c:pt idx="67">
                  <c:v>43585</c:v>
                </c:pt>
                <c:pt idx="68">
                  <c:v>43555</c:v>
                </c:pt>
                <c:pt idx="69">
                  <c:v>43524</c:v>
                </c:pt>
                <c:pt idx="70">
                  <c:v>43496</c:v>
                </c:pt>
                <c:pt idx="71">
                  <c:v>43465</c:v>
                </c:pt>
                <c:pt idx="72">
                  <c:v>43434</c:v>
                </c:pt>
                <c:pt idx="73">
                  <c:v>43404</c:v>
                </c:pt>
                <c:pt idx="74">
                  <c:v>43343</c:v>
                </c:pt>
                <c:pt idx="75">
                  <c:v>43312</c:v>
                </c:pt>
                <c:pt idx="76">
                  <c:v>43281</c:v>
                </c:pt>
                <c:pt idx="77">
                  <c:v>43251</c:v>
                </c:pt>
                <c:pt idx="78">
                  <c:v>43220</c:v>
                </c:pt>
                <c:pt idx="79">
                  <c:v>43190</c:v>
                </c:pt>
                <c:pt idx="80">
                  <c:v>43159</c:v>
                </c:pt>
                <c:pt idx="81">
                  <c:v>43131</c:v>
                </c:pt>
                <c:pt idx="82">
                  <c:v>43100</c:v>
                </c:pt>
                <c:pt idx="83">
                  <c:v>43069</c:v>
                </c:pt>
                <c:pt idx="84">
                  <c:v>43039</c:v>
                </c:pt>
                <c:pt idx="85">
                  <c:v>43008</c:v>
                </c:pt>
                <c:pt idx="86">
                  <c:v>42978</c:v>
                </c:pt>
                <c:pt idx="87">
                  <c:v>42947</c:v>
                </c:pt>
                <c:pt idx="88">
                  <c:v>42916</c:v>
                </c:pt>
                <c:pt idx="89">
                  <c:v>42886</c:v>
                </c:pt>
                <c:pt idx="90">
                  <c:v>42855</c:v>
                </c:pt>
                <c:pt idx="91">
                  <c:v>42825</c:v>
                </c:pt>
                <c:pt idx="92">
                  <c:v>42794</c:v>
                </c:pt>
                <c:pt idx="93">
                  <c:v>42766</c:v>
                </c:pt>
                <c:pt idx="94">
                  <c:v>42735</c:v>
                </c:pt>
                <c:pt idx="95">
                  <c:v>42704</c:v>
                </c:pt>
                <c:pt idx="96">
                  <c:v>42674</c:v>
                </c:pt>
                <c:pt idx="97">
                  <c:v>42643</c:v>
                </c:pt>
                <c:pt idx="98">
                  <c:v>42613</c:v>
                </c:pt>
                <c:pt idx="99">
                  <c:v>42582</c:v>
                </c:pt>
                <c:pt idx="100">
                  <c:v>42551</c:v>
                </c:pt>
                <c:pt idx="101">
                  <c:v>42521</c:v>
                </c:pt>
                <c:pt idx="102">
                  <c:v>42490</c:v>
                </c:pt>
                <c:pt idx="103">
                  <c:v>42460</c:v>
                </c:pt>
                <c:pt idx="104">
                  <c:v>42429</c:v>
                </c:pt>
                <c:pt idx="105">
                  <c:v>42400</c:v>
                </c:pt>
                <c:pt idx="106">
                  <c:v>42369</c:v>
                </c:pt>
                <c:pt idx="107">
                  <c:v>42338</c:v>
                </c:pt>
                <c:pt idx="108">
                  <c:v>42308</c:v>
                </c:pt>
                <c:pt idx="109">
                  <c:v>42277</c:v>
                </c:pt>
                <c:pt idx="110">
                  <c:v>42247</c:v>
                </c:pt>
                <c:pt idx="111">
                  <c:v>42216</c:v>
                </c:pt>
                <c:pt idx="112">
                  <c:v>42185</c:v>
                </c:pt>
                <c:pt idx="113">
                  <c:v>42155</c:v>
                </c:pt>
                <c:pt idx="114">
                  <c:v>42124</c:v>
                </c:pt>
                <c:pt idx="115">
                  <c:v>42094</c:v>
                </c:pt>
                <c:pt idx="116">
                  <c:v>42063</c:v>
                </c:pt>
                <c:pt idx="117">
                  <c:v>42035</c:v>
                </c:pt>
                <c:pt idx="118">
                  <c:v>42004</c:v>
                </c:pt>
                <c:pt idx="119">
                  <c:v>41943</c:v>
                </c:pt>
                <c:pt idx="120">
                  <c:v>41912</c:v>
                </c:pt>
                <c:pt idx="121">
                  <c:v>41882</c:v>
                </c:pt>
                <c:pt idx="122">
                  <c:v>41851</c:v>
                </c:pt>
                <c:pt idx="123">
                  <c:v>41820</c:v>
                </c:pt>
                <c:pt idx="124">
                  <c:v>41790</c:v>
                </c:pt>
                <c:pt idx="125">
                  <c:v>41759</c:v>
                </c:pt>
                <c:pt idx="126">
                  <c:v>41729</c:v>
                </c:pt>
                <c:pt idx="127">
                  <c:v>41698</c:v>
                </c:pt>
                <c:pt idx="128">
                  <c:v>41670</c:v>
                </c:pt>
              </c:numCache>
            </c:numRef>
          </c:cat>
          <c:val>
            <c:numRef>
              <c:f>Sheet1!$B$2:$B$130</c:f>
              <c:numCache>
                <c:formatCode>#,##0.00_ </c:formatCode>
                <c:ptCount val="129"/>
                <c:pt idx="0">
                  <c:v>47.68</c:v>
                </c:pt>
                <c:pt idx="1">
                  <c:v>47.04</c:v>
                </c:pt>
                <c:pt idx="2">
                  <c:v>47.01</c:v>
                </c:pt>
                <c:pt idx="3">
                  <c:v>49.07</c:v>
                </c:pt>
                <c:pt idx="4">
                  <c:v>47.81</c:v>
                </c:pt>
                <c:pt idx="5">
                  <c:v>47.08</c:v>
                </c:pt>
                <c:pt idx="6">
                  <c:v>47.89</c:v>
                </c:pt>
                <c:pt idx="7">
                  <c:v>47.31</c:v>
                </c:pt>
                <c:pt idx="8">
                  <c:v>47.37</c:v>
                </c:pt>
                <c:pt idx="9">
                  <c:v>46.56</c:v>
                </c:pt>
                <c:pt idx="10">
                  <c:v>46.64</c:v>
                </c:pt>
                <c:pt idx="11">
                  <c:v>47.54</c:v>
                </c:pt>
                <c:pt idx="12">
                  <c:v>47.08</c:v>
                </c:pt>
                <c:pt idx="13">
                  <c:v>47.25</c:v>
                </c:pt>
                <c:pt idx="14">
                  <c:v>46.58</c:v>
                </c:pt>
                <c:pt idx="15">
                  <c:v>48.03</c:v>
                </c:pt>
                <c:pt idx="16">
                  <c:v>46.46</c:v>
                </c:pt>
                <c:pt idx="17">
                  <c:v>42.02</c:v>
                </c:pt>
                <c:pt idx="18">
                  <c:v>42.6</c:v>
                </c:pt>
                <c:pt idx="19">
                  <c:v>42.71</c:v>
                </c:pt>
                <c:pt idx="20">
                  <c:v>41.74</c:v>
                </c:pt>
                <c:pt idx="21">
                  <c:v>41.1</c:v>
                </c:pt>
                <c:pt idx="22">
                  <c:v>40.119999999999997</c:v>
                </c:pt>
                <c:pt idx="23">
                  <c:v>41.89</c:v>
                </c:pt>
                <c:pt idx="24">
                  <c:v>41.38</c:v>
                </c:pt>
                <c:pt idx="25">
                  <c:v>42.05</c:v>
                </c:pt>
                <c:pt idx="26">
                  <c:v>42.63</c:v>
                </c:pt>
                <c:pt idx="27">
                  <c:v>42.63</c:v>
                </c:pt>
                <c:pt idx="28">
                  <c:v>41.19</c:v>
                </c:pt>
                <c:pt idx="29">
                  <c:v>41.16</c:v>
                </c:pt>
                <c:pt idx="30">
                  <c:v>41.13</c:v>
                </c:pt>
                <c:pt idx="31">
                  <c:v>41.81</c:v>
                </c:pt>
                <c:pt idx="32">
                  <c:v>41.07</c:v>
                </c:pt>
                <c:pt idx="33">
                  <c:v>38.85</c:v>
                </c:pt>
                <c:pt idx="34">
                  <c:v>39.92</c:v>
                </c:pt>
                <c:pt idx="35">
                  <c:v>40.51</c:v>
                </c:pt>
                <c:pt idx="36">
                  <c:v>39.159999999999997</c:v>
                </c:pt>
                <c:pt idx="37">
                  <c:v>39.159999999999997</c:v>
                </c:pt>
                <c:pt idx="38">
                  <c:v>39.450000000000003</c:v>
                </c:pt>
                <c:pt idx="39">
                  <c:v>40.04</c:v>
                </c:pt>
                <c:pt idx="40">
                  <c:v>39.380000000000003</c:v>
                </c:pt>
                <c:pt idx="41">
                  <c:v>40.64</c:v>
                </c:pt>
                <c:pt idx="42">
                  <c:v>38.35</c:v>
                </c:pt>
                <c:pt idx="43">
                  <c:v>39.770000000000003</c:v>
                </c:pt>
                <c:pt idx="44">
                  <c:v>39.43</c:v>
                </c:pt>
                <c:pt idx="45">
                  <c:v>38.43</c:v>
                </c:pt>
                <c:pt idx="46">
                  <c:v>38.26</c:v>
                </c:pt>
                <c:pt idx="47">
                  <c:v>38.729999999999997</c:v>
                </c:pt>
                <c:pt idx="48">
                  <c:v>37.630000000000003</c:v>
                </c:pt>
                <c:pt idx="49">
                  <c:v>37.64</c:v>
                </c:pt>
                <c:pt idx="50">
                  <c:v>38.450000000000003</c:v>
                </c:pt>
                <c:pt idx="51">
                  <c:v>38.96</c:v>
                </c:pt>
                <c:pt idx="52">
                  <c:v>38.770000000000003</c:v>
                </c:pt>
                <c:pt idx="53">
                  <c:v>40.33</c:v>
                </c:pt>
                <c:pt idx="54">
                  <c:v>40.880000000000003</c:v>
                </c:pt>
                <c:pt idx="55">
                  <c:v>43.37</c:v>
                </c:pt>
                <c:pt idx="56">
                  <c:v>44.1</c:v>
                </c:pt>
                <c:pt idx="57">
                  <c:v>41.8</c:v>
                </c:pt>
                <c:pt idx="58">
                  <c:v>40.81</c:v>
                </c:pt>
                <c:pt idx="59">
                  <c:v>42.22</c:v>
                </c:pt>
                <c:pt idx="60">
                  <c:v>40.39</c:v>
                </c:pt>
                <c:pt idx="61">
                  <c:v>40.64</c:v>
                </c:pt>
                <c:pt idx="62">
                  <c:v>40.51</c:v>
                </c:pt>
                <c:pt idx="63">
                  <c:v>42.52</c:v>
                </c:pt>
                <c:pt idx="64">
                  <c:v>40.01</c:v>
                </c:pt>
                <c:pt idx="65">
                  <c:v>40.1</c:v>
                </c:pt>
                <c:pt idx="66">
                  <c:v>40</c:v>
                </c:pt>
                <c:pt idx="67">
                  <c:v>40.76</c:v>
                </c:pt>
                <c:pt idx="68">
                  <c:v>40.01</c:v>
                </c:pt>
                <c:pt idx="69">
                  <c:v>39.07</c:v>
                </c:pt>
                <c:pt idx="70">
                  <c:v>40.08</c:v>
                </c:pt>
                <c:pt idx="71">
                  <c:v>41.57</c:v>
                </c:pt>
                <c:pt idx="72">
                  <c:v>39.56</c:v>
                </c:pt>
                <c:pt idx="73">
                  <c:v>39.71</c:v>
                </c:pt>
                <c:pt idx="74">
                  <c:v>39.69</c:v>
                </c:pt>
                <c:pt idx="75">
                  <c:v>38.99</c:v>
                </c:pt>
                <c:pt idx="76">
                  <c:v>39.35</c:v>
                </c:pt>
                <c:pt idx="77">
                  <c:v>39.4</c:v>
                </c:pt>
                <c:pt idx="78">
                  <c:v>39.21</c:v>
                </c:pt>
                <c:pt idx="79">
                  <c:v>39.450000000000003</c:v>
                </c:pt>
                <c:pt idx="80">
                  <c:v>38</c:v>
                </c:pt>
                <c:pt idx="81">
                  <c:v>38.53</c:v>
                </c:pt>
                <c:pt idx="82">
                  <c:v>39.85</c:v>
                </c:pt>
                <c:pt idx="83">
                  <c:v>39.299999999999997</c:v>
                </c:pt>
                <c:pt idx="84">
                  <c:v>39.47</c:v>
                </c:pt>
                <c:pt idx="85">
                  <c:v>39.79</c:v>
                </c:pt>
                <c:pt idx="86">
                  <c:v>40.72</c:v>
                </c:pt>
                <c:pt idx="87">
                  <c:v>39.83</c:v>
                </c:pt>
                <c:pt idx="88">
                  <c:v>40.47</c:v>
                </c:pt>
                <c:pt idx="89">
                  <c:v>40.58</c:v>
                </c:pt>
                <c:pt idx="90">
                  <c:v>42.14</c:v>
                </c:pt>
                <c:pt idx="91">
                  <c:v>41.8</c:v>
                </c:pt>
                <c:pt idx="92">
                  <c:v>40.86</c:v>
                </c:pt>
                <c:pt idx="93">
                  <c:v>40.72</c:v>
                </c:pt>
                <c:pt idx="94">
                  <c:v>42.09</c:v>
                </c:pt>
                <c:pt idx="95">
                  <c:v>41.07</c:v>
                </c:pt>
                <c:pt idx="96">
                  <c:v>40.549999999999997</c:v>
                </c:pt>
                <c:pt idx="97">
                  <c:v>41.08</c:v>
                </c:pt>
                <c:pt idx="98">
                  <c:v>42.5</c:v>
                </c:pt>
                <c:pt idx="99">
                  <c:v>41.3</c:v>
                </c:pt>
                <c:pt idx="100">
                  <c:v>40.97</c:v>
                </c:pt>
                <c:pt idx="101">
                  <c:v>41.68</c:v>
                </c:pt>
                <c:pt idx="102">
                  <c:v>41.92</c:v>
                </c:pt>
                <c:pt idx="103">
                  <c:v>43.09</c:v>
                </c:pt>
                <c:pt idx="104">
                  <c:v>41.4</c:v>
                </c:pt>
                <c:pt idx="105">
                  <c:v>42.96</c:v>
                </c:pt>
                <c:pt idx="106">
                  <c:v>43.89</c:v>
                </c:pt>
                <c:pt idx="107">
                  <c:v>42.68</c:v>
                </c:pt>
                <c:pt idx="108">
                  <c:v>42.38</c:v>
                </c:pt>
                <c:pt idx="109">
                  <c:v>43.27</c:v>
                </c:pt>
                <c:pt idx="110">
                  <c:v>44.82</c:v>
                </c:pt>
                <c:pt idx="111">
                  <c:v>43.57</c:v>
                </c:pt>
                <c:pt idx="112">
                  <c:v>45.01</c:v>
                </c:pt>
                <c:pt idx="113">
                  <c:v>44.96</c:v>
                </c:pt>
                <c:pt idx="114">
                  <c:v>45.14</c:v>
                </c:pt>
                <c:pt idx="115">
                  <c:v>44.64</c:v>
                </c:pt>
                <c:pt idx="116">
                  <c:v>43.09</c:v>
                </c:pt>
                <c:pt idx="117">
                  <c:v>43.41</c:v>
                </c:pt>
                <c:pt idx="118">
                  <c:v>44.64</c:v>
                </c:pt>
                <c:pt idx="119">
                  <c:v>43.5</c:v>
                </c:pt>
                <c:pt idx="120">
                  <c:v>42.93</c:v>
                </c:pt>
                <c:pt idx="121">
                  <c:v>43.82</c:v>
                </c:pt>
                <c:pt idx="122">
                  <c:v>42.08</c:v>
                </c:pt>
                <c:pt idx="123">
                  <c:v>41.86</c:v>
                </c:pt>
                <c:pt idx="124">
                  <c:v>41.63</c:v>
                </c:pt>
                <c:pt idx="125">
                  <c:v>42.51</c:v>
                </c:pt>
                <c:pt idx="126">
                  <c:v>40.19</c:v>
                </c:pt>
                <c:pt idx="127">
                  <c:v>38.9</c:v>
                </c:pt>
                <c:pt idx="128">
                  <c:v>38.75</c:v>
                </c:pt>
              </c:numCache>
            </c:numRef>
          </c:val>
          <c:extLst xmlns:c16r2="http://schemas.microsoft.com/office/drawing/2015/06/chart">
            <c:ext xmlns:c16="http://schemas.microsoft.com/office/drawing/2014/chart" uri="{C3380CC4-5D6E-409C-BE32-E72D297353CC}">
              <c16:uniqueId val="{00000000-0972-774A-B4E7-C86E2BF8FC81}"/>
            </c:ext>
          </c:extLst>
        </c:ser>
        <c:ser>
          <c:idx val="1"/>
          <c:order val="1"/>
          <c:tx>
            <c:strRef>
              <c:f>Sheet1!$C$1</c:f>
              <c:strCache>
                <c:ptCount val="1"/>
                <c:pt idx="0">
                  <c:v>欧元</c:v>
                </c:pt>
              </c:strCache>
            </c:strRef>
          </c:tx>
          <c:spPr>
            <a:solidFill>
              <a:srgbClr val="00B050"/>
            </a:solidFill>
            <a:ln>
              <a:noFill/>
            </a:ln>
            <a:effectLst/>
          </c:spPr>
          <c:cat>
            <c:numRef>
              <c:f>Sheet1!$A$2:$A$130</c:f>
              <c:numCache>
                <c:formatCode>yyyy\-mm</c:formatCode>
                <c:ptCount val="129"/>
                <c:pt idx="0">
                  <c:v>45626</c:v>
                </c:pt>
                <c:pt idx="1">
                  <c:v>45596</c:v>
                </c:pt>
                <c:pt idx="2">
                  <c:v>45565</c:v>
                </c:pt>
                <c:pt idx="3">
                  <c:v>45535</c:v>
                </c:pt>
                <c:pt idx="4">
                  <c:v>45504</c:v>
                </c:pt>
                <c:pt idx="5">
                  <c:v>45473</c:v>
                </c:pt>
                <c:pt idx="6">
                  <c:v>45443</c:v>
                </c:pt>
                <c:pt idx="7">
                  <c:v>45412</c:v>
                </c:pt>
                <c:pt idx="8">
                  <c:v>45382</c:v>
                </c:pt>
                <c:pt idx="9">
                  <c:v>45351</c:v>
                </c:pt>
                <c:pt idx="10">
                  <c:v>45322</c:v>
                </c:pt>
                <c:pt idx="11">
                  <c:v>45291</c:v>
                </c:pt>
                <c:pt idx="12">
                  <c:v>45260</c:v>
                </c:pt>
                <c:pt idx="13">
                  <c:v>45230</c:v>
                </c:pt>
                <c:pt idx="14">
                  <c:v>45199</c:v>
                </c:pt>
                <c:pt idx="15">
                  <c:v>45169</c:v>
                </c:pt>
                <c:pt idx="16">
                  <c:v>45138</c:v>
                </c:pt>
                <c:pt idx="17">
                  <c:v>45107</c:v>
                </c:pt>
                <c:pt idx="18">
                  <c:v>45077</c:v>
                </c:pt>
                <c:pt idx="19">
                  <c:v>45046</c:v>
                </c:pt>
                <c:pt idx="20">
                  <c:v>45016</c:v>
                </c:pt>
                <c:pt idx="21">
                  <c:v>44985</c:v>
                </c:pt>
                <c:pt idx="22">
                  <c:v>44957</c:v>
                </c:pt>
                <c:pt idx="23">
                  <c:v>44926</c:v>
                </c:pt>
                <c:pt idx="24">
                  <c:v>44895</c:v>
                </c:pt>
                <c:pt idx="25">
                  <c:v>44865</c:v>
                </c:pt>
                <c:pt idx="26">
                  <c:v>44834</c:v>
                </c:pt>
                <c:pt idx="27">
                  <c:v>44804</c:v>
                </c:pt>
                <c:pt idx="28">
                  <c:v>44773</c:v>
                </c:pt>
                <c:pt idx="29">
                  <c:v>44742</c:v>
                </c:pt>
                <c:pt idx="30">
                  <c:v>44712</c:v>
                </c:pt>
                <c:pt idx="31">
                  <c:v>44681</c:v>
                </c:pt>
                <c:pt idx="32">
                  <c:v>44651</c:v>
                </c:pt>
                <c:pt idx="33">
                  <c:v>44620</c:v>
                </c:pt>
                <c:pt idx="34">
                  <c:v>44592</c:v>
                </c:pt>
                <c:pt idx="35">
                  <c:v>44561</c:v>
                </c:pt>
                <c:pt idx="36">
                  <c:v>44530</c:v>
                </c:pt>
                <c:pt idx="37">
                  <c:v>44500</c:v>
                </c:pt>
                <c:pt idx="38">
                  <c:v>44469</c:v>
                </c:pt>
                <c:pt idx="39">
                  <c:v>44439</c:v>
                </c:pt>
                <c:pt idx="40">
                  <c:v>44408</c:v>
                </c:pt>
                <c:pt idx="41">
                  <c:v>44377</c:v>
                </c:pt>
                <c:pt idx="42">
                  <c:v>44347</c:v>
                </c:pt>
                <c:pt idx="43">
                  <c:v>44316</c:v>
                </c:pt>
                <c:pt idx="44">
                  <c:v>44286</c:v>
                </c:pt>
                <c:pt idx="45">
                  <c:v>44255</c:v>
                </c:pt>
                <c:pt idx="46">
                  <c:v>44227</c:v>
                </c:pt>
                <c:pt idx="47">
                  <c:v>44196</c:v>
                </c:pt>
                <c:pt idx="48">
                  <c:v>44165</c:v>
                </c:pt>
                <c:pt idx="49">
                  <c:v>44135</c:v>
                </c:pt>
                <c:pt idx="50">
                  <c:v>44104</c:v>
                </c:pt>
                <c:pt idx="51">
                  <c:v>44074</c:v>
                </c:pt>
                <c:pt idx="52">
                  <c:v>44043</c:v>
                </c:pt>
                <c:pt idx="53">
                  <c:v>44012</c:v>
                </c:pt>
                <c:pt idx="54">
                  <c:v>43982</c:v>
                </c:pt>
                <c:pt idx="55">
                  <c:v>43951</c:v>
                </c:pt>
                <c:pt idx="56">
                  <c:v>43921</c:v>
                </c:pt>
                <c:pt idx="57">
                  <c:v>43890</c:v>
                </c:pt>
                <c:pt idx="58">
                  <c:v>43861</c:v>
                </c:pt>
                <c:pt idx="59">
                  <c:v>43830</c:v>
                </c:pt>
                <c:pt idx="60">
                  <c:v>43799</c:v>
                </c:pt>
                <c:pt idx="61">
                  <c:v>43769</c:v>
                </c:pt>
                <c:pt idx="62">
                  <c:v>43738</c:v>
                </c:pt>
                <c:pt idx="63">
                  <c:v>43708</c:v>
                </c:pt>
                <c:pt idx="64">
                  <c:v>43677</c:v>
                </c:pt>
                <c:pt idx="65">
                  <c:v>43646</c:v>
                </c:pt>
                <c:pt idx="66">
                  <c:v>43616</c:v>
                </c:pt>
                <c:pt idx="67">
                  <c:v>43585</c:v>
                </c:pt>
                <c:pt idx="68">
                  <c:v>43555</c:v>
                </c:pt>
                <c:pt idx="69">
                  <c:v>43524</c:v>
                </c:pt>
                <c:pt idx="70">
                  <c:v>43496</c:v>
                </c:pt>
                <c:pt idx="71">
                  <c:v>43465</c:v>
                </c:pt>
                <c:pt idx="72">
                  <c:v>43434</c:v>
                </c:pt>
                <c:pt idx="73">
                  <c:v>43404</c:v>
                </c:pt>
                <c:pt idx="74">
                  <c:v>43343</c:v>
                </c:pt>
                <c:pt idx="75">
                  <c:v>43312</c:v>
                </c:pt>
                <c:pt idx="76">
                  <c:v>43281</c:v>
                </c:pt>
                <c:pt idx="77">
                  <c:v>43251</c:v>
                </c:pt>
                <c:pt idx="78">
                  <c:v>43220</c:v>
                </c:pt>
                <c:pt idx="79">
                  <c:v>43190</c:v>
                </c:pt>
                <c:pt idx="80">
                  <c:v>43159</c:v>
                </c:pt>
                <c:pt idx="81">
                  <c:v>43131</c:v>
                </c:pt>
                <c:pt idx="82">
                  <c:v>43100</c:v>
                </c:pt>
                <c:pt idx="83">
                  <c:v>43069</c:v>
                </c:pt>
                <c:pt idx="84">
                  <c:v>43039</c:v>
                </c:pt>
                <c:pt idx="85">
                  <c:v>43008</c:v>
                </c:pt>
                <c:pt idx="86">
                  <c:v>42978</c:v>
                </c:pt>
                <c:pt idx="87">
                  <c:v>42947</c:v>
                </c:pt>
                <c:pt idx="88">
                  <c:v>42916</c:v>
                </c:pt>
                <c:pt idx="89">
                  <c:v>42886</c:v>
                </c:pt>
                <c:pt idx="90">
                  <c:v>42855</c:v>
                </c:pt>
                <c:pt idx="91">
                  <c:v>42825</c:v>
                </c:pt>
                <c:pt idx="92">
                  <c:v>42794</c:v>
                </c:pt>
                <c:pt idx="93">
                  <c:v>42766</c:v>
                </c:pt>
                <c:pt idx="94">
                  <c:v>42735</c:v>
                </c:pt>
                <c:pt idx="95">
                  <c:v>42704</c:v>
                </c:pt>
                <c:pt idx="96">
                  <c:v>42674</c:v>
                </c:pt>
                <c:pt idx="97">
                  <c:v>42643</c:v>
                </c:pt>
                <c:pt idx="98">
                  <c:v>42613</c:v>
                </c:pt>
                <c:pt idx="99">
                  <c:v>42582</c:v>
                </c:pt>
                <c:pt idx="100">
                  <c:v>42551</c:v>
                </c:pt>
                <c:pt idx="101">
                  <c:v>42521</c:v>
                </c:pt>
                <c:pt idx="102">
                  <c:v>42490</c:v>
                </c:pt>
                <c:pt idx="103">
                  <c:v>42460</c:v>
                </c:pt>
                <c:pt idx="104">
                  <c:v>42429</c:v>
                </c:pt>
                <c:pt idx="105">
                  <c:v>42400</c:v>
                </c:pt>
                <c:pt idx="106">
                  <c:v>42369</c:v>
                </c:pt>
                <c:pt idx="107">
                  <c:v>42338</c:v>
                </c:pt>
                <c:pt idx="108">
                  <c:v>42308</c:v>
                </c:pt>
                <c:pt idx="109">
                  <c:v>42277</c:v>
                </c:pt>
                <c:pt idx="110">
                  <c:v>42247</c:v>
                </c:pt>
                <c:pt idx="111">
                  <c:v>42216</c:v>
                </c:pt>
                <c:pt idx="112">
                  <c:v>42185</c:v>
                </c:pt>
                <c:pt idx="113">
                  <c:v>42155</c:v>
                </c:pt>
                <c:pt idx="114">
                  <c:v>42124</c:v>
                </c:pt>
                <c:pt idx="115">
                  <c:v>42094</c:v>
                </c:pt>
                <c:pt idx="116">
                  <c:v>42063</c:v>
                </c:pt>
                <c:pt idx="117">
                  <c:v>42035</c:v>
                </c:pt>
                <c:pt idx="118">
                  <c:v>42004</c:v>
                </c:pt>
                <c:pt idx="119">
                  <c:v>41943</c:v>
                </c:pt>
                <c:pt idx="120">
                  <c:v>41912</c:v>
                </c:pt>
                <c:pt idx="121">
                  <c:v>41882</c:v>
                </c:pt>
                <c:pt idx="122">
                  <c:v>41851</c:v>
                </c:pt>
                <c:pt idx="123">
                  <c:v>41820</c:v>
                </c:pt>
                <c:pt idx="124">
                  <c:v>41790</c:v>
                </c:pt>
                <c:pt idx="125">
                  <c:v>41759</c:v>
                </c:pt>
                <c:pt idx="126">
                  <c:v>41729</c:v>
                </c:pt>
                <c:pt idx="127">
                  <c:v>41698</c:v>
                </c:pt>
                <c:pt idx="128">
                  <c:v>41670</c:v>
                </c:pt>
              </c:numCache>
            </c:numRef>
          </c:cat>
          <c:val>
            <c:numRef>
              <c:f>Sheet1!$C$2:$C$130</c:f>
              <c:numCache>
                <c:formatCode>#,##0.00_ </c:formatCode>
                <c:ptCount val="129"/>
                <c:pt idx="0">
                  <c:v>22.29</c:v>
                </c:pt>
                <c:pt idx="1">
                  <c:v>22.9</c:v>
                </c:pt>
                <c:pt idx="2">
                  <c:v>22.56</c:v>
                </c:pt>
                <c:pt idx="3">
                  <c:v>21.58</c:v>
                </c:pt>
                <c:pt idx="4">
                  <c:v>22.47</c:v>
                </c:pt>
                <c:pt idx="5">
                  <c:v>22.72</c:v>
                </c:pt>
                <c:pt idx="6">
                  <c:v>22.85</c:v>
                </c:pt>
                <c:pt idx="7">
                  <c:v>22.55</c:v>
                </c:pt>
                <c:pt idx="8">
                  <c:v>21.93</c:v>
                </c:pt>
                <c:pt idx="9">
                  <c:v>23.25</c:v>
                </c:pt>
                <c:pt idx="10">
                  <c:v>23.02</c:v>
                </c:pt>
                <c:pt idx="11">
                  <c:v>22.41</c:v>
                </c:pt>
                <c:pt idx="12">
                  <c:v>22.95</c:v>
                </c:pt>
                <c:pt idx="13">
                  <c:v>23.36</c:v>
                </c:pt>
                <c:pt idx="14">
                  <c:v>23.6</c:v>
                </c:pt>
                <c:pt idx="15">
                  <c:v>23.22</c:v>
                </c:pt>
                <c:pt idx="16">
                  <c:v>24.42</c:v>
                </c:pt>
                <c:pt idx="17">
                  <c:v>31.25</c:v>
                </c:pt>
                <c:pt idx="18">
                  <c:v>31.7</c:v>
                </c:pt>
                <c:pt idx="19">
                  <c:v>31.74</c:v>
                </c:pt>
                <c:pt idx="20">
                  <c:v>32.64</c:v>
                </c:pt>
                <c:pt idx="21">
                  <c:v>36.43</c:v>
                </c:pt>
                <c:pt idx="22">
                  <c:v>37.880000000000003</c:v>
                </c:pt>
                <c:pt idx="23">
                  <c:v>36.340000000000003</c:v>
                </c:pt>
                <c:pt idx="24">
                  <c:v>36.119999999999997</c:v>
                </c:pt>
                <c:pt idx="25">
                  <c:v>34.43</c:v>
                </c:pt>
                <c:pt idx="26">
                  <c:v>35.15</c:v>
                </c:pt>
                <c:pt idx="27">
                  <c:v>34.49</c:v>
                </c:pt>
                <c:pt idx="28">
                  <c:v>35.49</c:v>
                </c:pt>
                <c:pt idx="29">
                  <c:v>35.549999999999997</c:v>
                </c:pt>
                <c:pt idx="30">
                  <c:v>36.11</c:v>
                </c:pt>
                <c:pt idx="31">
                  <c:v>34.74</c:v>
                </c:pt>
                <c:pt idx="32">
                  <c:v>35.36</c:v>
                </c:pt>
                <c:pt idx="33">
                  <c:v>37.79</c:v>
                </c:pt>
                <c:pt idx="34">
                  <c:v>36.56</c:v>
                </c:pt>
                <c:pt idx="35">
                  <c:v>36.65</c:v>
                </c:pt>
                <c:pt idx="36">
                  <c:v>37.659999999999997</c:v>
                </c:pt>
                <c:pt idx="37">
                  <c:v>38.07</c:v>
                </c:pt>
                <c:pt idx="38">
                  <c:v>37.9</c:v>
                </c:pt>
                <c:pt idx="39">
                  <c:v>37.950000000000003</c:v>
                </c:pt>
                <c:pt idx="40">
                  <c:v>38.43</c:v>
                </c:pt>
                <c:pt idx="41">
                  <c:v>37.92</c:v>
                </c:pt>
                <c:pt idx="42">
                  <c:v>39.03</c:v>
                </c:pt>
                <c:pt idx="43">
                  <c:v>36.32</c:v>
                </c:pt>
                <c:pt idx="44">
                  <c:v>35.770000000000003</c:v>
                </c:pt>
                <c:pt idx="45">
                  <c:v>37.130000000000003</c:v>
                </c:pt>
                <c:pt idx="46">
                  <c:v>36.6</c:v>
                </c:pt>
                <c:pt idx="47">
                  <c:v>36.700000000000003</c:v>
                </c:pt>
                <c:pt idx="48">
                  <c:v>37.44</c:v>
                </c:pt>
                <c:pt idx="49">
                  <c:v>37.82</c:v>
                </c:pt>
                <c:pt idx="50">
                  <c:v>36.29</c:v>
                </c:pt>
                <c:pt idx="51">
                  <c:v>36.04</c:v>
                </c:pt>
                <c:pt idx="52">
                  <c:v>36.46</c:v>
                </c:pt>
                <c:pt idx="53">
                  <c:v>34.1</c:v>
                </c:pt>
                <c:pt idx="54">
                  <c:v>32.909999999999997</c:v>
                </c:pt>
                <c:pt idx="55">
                  <c:v>31.46</c:v>
                </c:pt>
                <c:pt idx="56">
                  <c:v>30.84</c:v>
                </c:pt>
                <c:pt idx="57">
                  <c:v>32.61</c:v>
                </c:pt>
                <c:pt idx="58">
                  <c:v>33.58</c:v>
                </c:pt>
                <c:pt idx="59">
                  <c:v>31.69</c:v>
                </c:pt>
                <c:pt idx="60">
                  <c:v>33.520000000000003</c:v>
                </c:pt>
                <c:pt idx="61">
                  <c:v>33.56</c:v>
                </c:pt>
                <c:pt idx="62">
                  <c:v>32.770000000000003</c:v>
                </c:pt>
                <c:pt idx="63">
                  <c:v>32.06</c:v>
                </c:pt>
                <c:pt idx="64">
                  <c:v>33.93</c:v>
                </c:pt>
                <c:pt idx="65">
                  <c:v>33.74</c:v>
                </c:pt>
                <c:pt idx="66">
                  <c:v>34.42</c:v>
                </c:pt>
                <c:pt idx="67">
                  <c:v>33.159999999999997</c:v>
                </c:pt>
                <c:pt idx="68">
                  <c:v>33.75</c:v>
                </c:pt>
                <c:pt idx="69">
                  <c:v>34.99</c:v>
                </c:pt>
                <c:pt idx="70">
                  <c:v>34.17</c:v>
                </c:pt>
                <c:pt idx="71">
                  <c:v>32.979999999999997</c:v>
                </c:pt>
                <c:pt idx="72">
                  <c:v>34.130000000000003</c:v>
                </c:pt>
                <c:pt idx="73">
                  <c:v>34.24</c:v>
                </c:pt>
                <c:pt idx="74">
                  <c:v>34.130000000000003</c:v>
                </c:pt>
                <c:pt idx="75">
                  <c:v>34.71</c:v>
                </c:pt>
                <c:pt idx="76">
                  <c:v>33.97</c:v>
                </c:pt>
                <c:pt idx="77">
                  <c:v>34.19</c:v>
                </c:pt>
                <c:pt idx="78">
                  <c:v>34.32</c:v>
                </c:pt>
                <c:pt idx="79">
                  <c:v>34.549999999999997</c:v>
                </c:pt>
                <c:pt idx="80">
                  <c:v>34.29</c:v>
                </c:pt>
                <c:pt idx="81">
                  <c:v>32.75</c:v>
                </c:pt>
                <c:pt idx="82">
                  <c:v>35.659999999999997</c:v>
                </c:pt>
                <c:pt idx="83">
                  <c:v>32.619999999999997</c:v>
                </c:pt>
                <c:pt idx="84">
                  <c:v>33.979999999999997</c:v>
                </c:pt>
                <c:pt idx="85">
                  <c:v>33.049999999999997</c:v>
                </c:pt>
                <c:pt idx="86">
                  <c:v>32.909999999999997</c:v>
                </c:pt>
                <c:pt idx="87">
                  <c:v>33.340000000000003</c:v>
                </c:pt>
                <c:pt idx="88">
                  <c:v>32.89</c:v>
                </c:pt>
                <c:pt idx="89">
                  <c:v>33.299999999999997</c:v>
                </c:pt>
                <c:pt idx="90">
                  <c:v>31.1</c:v>
                </c:pt>
                <c:pt idx="91">
                  <c:v>31.2</c:v>
                </c:pt>
                <c:pt idx="92">
                  <c:v>32</c:v>
                </c:pt>
                <c:pt idx="93">
                  <c:v>32.869999999999997</c:v>
                </c:pt>
                <c:pt idx="94">
                  <c:v>31.3</c:v>
                </c:pt>
                <c:pt idx="95">
                  <c:v>31.55</c:v>
                </c:pt>
                <c:pt idx="96">
                  <c:v>32.26</c:v>
                </c:pt>
                <c:pt idx="97">
                  <c:v>31.24</c:v>
                </c:pt>
                <c:pt idx="98">
                  <c:v>30.17</c:v>
                </c:pt>
                <c:pt idx="99">
                  <c:v>31.31</c:v>
                </c:pt>
                <c:pt idx="100">
                  <c:v>30.82</c:v>
                </c:pt>
                <c:pt idx="101">
                  <c:v>31.31</c:v>
                </c:pt>
                <c:pt idx="102">
                  <c:v>30.69</c:v>
                </c:pt>
                <c:pt idx="103">
                  <c:v>29.83</c:v>
                </c:pt>
                <c:pt idx="104">
                  <c:v>31.47</c:v>
                </c:pt>
                <c:pt idx="105">
                  <c:v>29.43</c:v>
                </c:pt>
                <c:pt idx="106">
                  <c:v>29.39</c:v>
                </c:pt>
                <c:pt idx="107">
                  <c:v>29.5</c:v>
                </c:pt>
                <c:pt idx="108">
                  <c:v>29.89</c:v>
                </c:pt>
                <c:pt idx="109">
                  <c:v>28.63</c:v>
                </c:pt>
                <c:pt idx="110">
                  <c:v>27.2</c:v>
                </c:pt>
                <c:pt idx="111">
                  <c:v>28.46</c:v>
                </c:pt>
                <c:pt idx="112">
                  <c:v>27.9</c:v>
                </c:pt>
                <c:pt idx="113">
                  <c:v>27.96</c:v>
                </c:pt>
                <c:pt idx="114">
                  <c:v>27.36</c:v>
                </c:pt>
                <c:pt idx="115">
                  <c:v>27.21</c:v>
                </c:pt>
                <c:pt idx="116">
                  <c:v>28.95</c:v>
                </c:pt>
                <c:pt idx="117">
                  <c:v>28.75</c:v>
                </c:pt>
                <c:pt idx="118">
                  <c:v>28.3</c:v>
                </c:pt>
                <c:pt idx="119">
                  <c:v>29.38</c:v>
                </c:pt>
                <c:pt idx="120">
                  <c:v>29.43</c:v>
                </c:pt>
                <c:pt idx="121">
                  <c:v>29.13</c:v>
                </c:pt>
                <c:pt idx="122">
                  <c:v>31.24</c:v>
                </c:pt>
                <c:pt idx="123">
                  <c:v>31.25</c:v>
                </c:pt>
                <c:pt idx="124">
                  <c:v>32.35</c:v>
                </c:pt>
                <c:pt idx="125">
                  <c:v>30.99</c:v>
                </c:pt>
                <c:pt idx="126">
                  <c:v>31.78</c:v>
                </c:pt>
                <c:pt idx="127">
                  <c:v>32.97</c:v>
                </c:pt>
                <c:pt idx="128">
                  <c:v>33.51</c:v>
                </c:pt>
              </c:numCache>
            </c:numRef>
          </c:val>
          <c:extLst xmlns:c16r2="http://schemas.microsoft.com/office/drawing/2015/06/chart">
            <c:ext xmlns:c16="http://schemas.microsoft.com/office/drawing/2014/chart" uri="{C3380CC4-5D6E-409C-BE32-E72D297353CC}">
              <c16:uniqueId val="{00000001-0972-774A-B4E7-C86E2BF8FC81}"/>
            </c:ext>
          </c:extLst>
        </c:ser>
        <c:ser>
          <c:idx val="2"/>
          <c:order val="2"/>
          <c:tx>
            <c:strRef>
              <c:f>Sheet1!$D$1</c:f>
              <c:strCache>
                <c:ptCount val="1"/>
                <c:pt idx="0">
                  <c:v>英镑</c:v>
                </c:pt>
              </c:strCache>
            </c:strRef>
          </c:tx>
          <c:spPr>
            <a:solidFill>
              <a:srgbClr val="0432FF"/>
            </a:solidFill>
            <a:ln>
              <a:noFill/>
            </a:ln>
            <a:effectLst/>
          </c:spPr>
          <c:cat>
            <c:numRef>
              <c:f>Sheet1!$A$2:$A$130</c:f>
              <c:numCache>
                <c:formatCode>yyyy\-mm</c:formatCode>
                <c:ptCount val="129"/>
                <c:pt idx="0">
                  <c:v>45626</c:v>
                </c:pt>
                <c:pt idx="1">
                  <c:v>45596</c:v>
                </c:pt>
                <c:pt idx="2">
                  <c:v>45565</c:v>
                </c:pt>
                <c:pt idx="3">
                  <c:v>45535</c:v>
                </c:pt>
                <c:pt idx="4">
                  <c:v>45504</c:v>
                </c:pt>
                <c:pt idx="5">
                  <c:v>45473</c:v>
                </c:pt>
                <c:pt idx="6">
                  <c:v>45443</c:v>
                </c:pt>
                <c:pt idx="7">
                  <c:v>45412</c:v>
                </c:pt>
                <c:pt idx="8">
                  <c:v>45382</c:v>
                </c:pt>
                <c:pt idx="9">
                  <c:v>45351</c:v>
                </c:pt>
                <c:pt idx="10">
                  <c:v>45322</c:v>
                </c:pt>
                <c:pt idx="11">
                  <c:v>45291</c:v>
                </c:pt>
                <c:pt idx="12">
                  <c:v>45260</c:v>
                </c:pt>
                <c:pt idx="13">
                  <c:v>45230</c:v>
                </c:pt>
                <c:pt idx="14">
                  <c:v>45199</c:v>
                </c:pt>
                <c:pt idx="15">
                  <c:v>45169</c:v>
                </c:pt>
                <c:pt idx="16">
                  <c:v>45138</c:v>
                </c:pt>
                <c:pt idx="17">
                  <c:v>45107</c:v>
                </c:pt>
                <c:pt idx="18">
                  <c:v>45077</c:v>
                </c:pt>
                <c:pt idx="19">
                  <c:v>45046</c:v>
                </c:pt>
                <c:pt idx="20">
                  <c:v>45016</c:v>
                </c:pt>
                <c:pt idx="21">
                  <c:v>44985</c:v>
                </c:pt>
                <c:pt idx="22">
                  <c:v>44957</c:v>
                </c:pt>
                <c:pt idx="23">
                  <c:v>44926</c:v>
                </c:pt>
                <c:pt idx="24">
                  <c:v>44895</c:v>
                </c:pt>
                <c:pt idx="25">
                  <c:v>44865</c:v>
                </c:pt>
                <c:pt idx="26">
                  <c:v>44834</c:v>
                </c:pt>
                <c:pt idx="27">
                  <c:v>44804</c:v>
                </c:pt>
                <c:pt idx="28">
                  <c:v>44773</c:v>
                </c:pt>
                <c:pt idx="29">
                  <c:v>44742</c:v>
                </c:pt>
                <c:pt idx="30">
                  <c:v>44712</c:v>
                </c:pt>
                <c:pt idx="31">
                  <c:v>44681</c:v>
                </c:pt>
                <c:pt idx="32">
                  <c:v>44651</c:v>
                </c:pt>
                <c:pt idx="33">
                  <c:v>44620</c:v>
                </c:pt>
                <c:pt idx="34">
                  <c:v>44592</c:v>
                </c:pt>
                <c:pt idx="35">
                  <c:v>44561</c:v>
                </c:pt>
                <c:pt idx="36">
                  <c:v>44530</c:v>
                </c:pt>
                <c:pt idx="37">
                  <c:v>44500</c:v>
                </c:pt>
                <c:pt idx="38">
                  <c:v>44469</c:v>
                </c:pt>
                <c:pt idx="39">
                  <c:v>44439</c:v>
                </c:pt>
                <c:pt idx="40">
                  <c:v>44408</c:v>
                </c:pt>
                <c:pt idx="41">
                  <c:v>44377</c:v>
                </c:pt>
                <c:pt idx="42">
                  <c:v>44347</c:v>
                </c:pt>
                <c:pt idx="43">
                  <c:v>44316</c:v>
                </c:pt>
                <c:pt idx="44">
                  <c:v>44286</c:v>
                </c:pt>
                <c:pt idx="45">
                  <c:v>44255</c:v>
                </c:pt>
                <c:pt idx="46">
                  <c:v>44227</c:v>
                </c:pt>
                <c:pt idx="47">
                  <c:v>44196</c:v>
                </c:pt>
                <c:pt idx="48">
                  <c:v>44165</c:v>
                </c:pt>
                <c:pt idx="49">
                  <c:v>44135</c:v>
                </c:pt>
                <c:pt idx="50">
                  <c:v>44104</c:v>
                </c:pt>
                <c:pt idx="51">
                  <c:v>44074</c:v>
                </c:pt>
                <c:pt idx="52">
                  <c:v>44043</c:v>
                </c:pt>
                <c:pt idx="53">
                  <c:v>44012</c:v>
                </c:pt>
                <c:pt idx="54">
                  <c:v>43982</c:v>
                </c:pt>
                <c:pt idx="55">
                  <c:v>43951</c:v>
                </c:pt>
                <c:pt idx="56">
                  <c:v>43921</c:v>
                </c:pt>
                <c:pt idx="57">
                  <c:v>43890</c:v>
                </c:pt>
                <c:pt idx="58">
                  <c:v>43861</c:v>
                </c:pt>
                <c:pt idx="59">
                  <c:v>43830</c:v>
                </c:pt>
                <c:pt idx="60">
                  <c:v>43799</c:v>
                </c:pt>
                <c:pt idx="61">
                  <c:v>43769</c:v>
                </c:pt>
                <c:pt idx="62">
                  <c:v>43738</c:v>
                </c:pt>
                <c:pt idx="63">
                  <c:v>43708</c:v>
                </c:pt>
                <c:pt idx="64">
                  <c:v>43677</c:v>
                </c:pt>
                <c:pt idx="65">
                  <c:v>43646</c:v>
                </c:pt>
                <c:pt idx="66">
                  <c:v>43616</c:v>
                </c:pt>
                <c:pt idx="67">
                  <c:v>43585</c:v>
                </c:pt>
                <c:pt idx="68">
                  <c:v>43555</c:v>
                </c:pt>
                <c:pt idx="69">
                  <c:v>43524</c:v>
                </c:pt>
                <c:pt idx="70">
                  <c:v>43496</c:v>
                </c:pt>
                <c:pt idx="71">
                  <c:v>43465</c:v>
                </c:pt>
                <c:pt idx="72">
                  <c:v>43434</c:v>
                </c:pt>
                <c:pt idx="73">
                  <c:v>43404</c:v>
                </c:pt>
                <c:pt idx="74">
                  <c:v>43343</c:v>
                </c:pt>
                <c:pt idx="75">
                  <c:v>43312</c:v>
                </c:pt>
                <c:pt idx="76">
                  <c:v>43281</c:v>
                </c:pt>
                <c:pt idx="77">
                  <c:v>43251</c:v>
                </c:pt>
                <c:pt idx="78">
                  <c:v>43220</c:v>
                </c:pt>
                <c:pt idx="79">
                  <c:v>43190</c:v>
                </c:pt>
                <c:pt idx="80">
                  <c:v>43159</c:v>
                </c:pt>
                <c:pt idx="81">
                  <c:v>43131</c:v>
                </c:pt>
                <c:pt idx="82">
                  <c:v>43100</c:v>
                </c:pt>
                <c:pt idx="83">
                  <c:v>43069</c:v>
                </c:pt>
                <c:pt idx="84">
                  <c:v>43039</c:v>
                </c:pt>
                <c:pt idx="85">
                  <c:v>43008</c:v>
                </c:pt>
                <c:pt idx="86">
                  <c:v>42978</c:v>
                </c:pt>
                <c:pt idx="87">
                  <c:v>42947</c:v>
                </c:pt>
                <c:pt idx="88">
                  <c:v>42916</c:v>
                </c:pt>
                <c:pt idx="89">
                  <c:v>42886</c:v>
                </c:pt>
                <c:pt idx="90">
                  <c:v>42855</c:v>
                </c:pt>
                <c:pt idx="91">
                  <c:v>42825</c:v>
                </c:pt>
                <c:pt idx="92">
                  <c:v>42794</c:v>
                </c:pt>
                <c:pt idx="93">
                  <c:v>42766</c:v>
                </c:pt>
                <c:pt idx="94">
                  <c:v>42735</c:v>
                </c:pt>
                <c:pt idx="95">
                  <c:v>42704</c:v>
                </c:pt>
                <c:pt idx="96">
                  <c:v>42674</c:v>
                </c:pt>
                <c:pt idx="97">
                  <c:v>42643</c:v>
                </c:pt>
                <c:pt idx="98">
                  <c:v>42613</c:v>
                </c:pt>
                <c:pt idx="99">
                  <c:v>42582</c:v>
                </c:pt>
                <c:pt idx="100">
                  <c:v>42551</c:v>
                </c:pt>
                <c:pt idx="101">
                  <c:v>42521</c:v>
                </c:pt>
                <c:pt idx="102">
                  <c:v>42490</c:v>
                </c:pt>
                <c:pt idx="103">
                  <c:v>42460</c:v>
                </c:pt>
                <c:pt idx="104">
                  <c:v>42429</c:v>
                </c:pt>
                <c:pt idx="105">
                  <c:v>42400</c:v>
                </c:pt>
                <c:pt idx="106">
                  <c:v>42369</c:v>
                </c:pt>
                <c:pt idx="107">
                  <c:v>42338</c:v>
                </c:pt>
                <c:pt idx="108">
                  <c:v>42308</c:v>
                </c:pt>
                <c:pt idx="109">
                  <c:v>42277</c:v>
                </c:pt>
                <c:pt idx="110">
                  <c:v>42247</c:v>
                </c:pt>
                <c:pt idx="111">
                  <c:v>42216</c:v>
                </c:pt>
                <c:pt idx="112">
                  <c:v>42185</c:v>
                </c:pt>
                <c:pt idx="113">
                  <c:v>42155</c:v>
                </c:pt>
                <c:pt idx="114">
                  <c:v>42124</c:v>
                </c:pt>
                <c:pt idx="115">
                  <c:v>42094</c:v>
                </c:pt>
                <c:pt idx="116">
                  <c:v>42063</c:v>
                </c:pt>
                <c:pt idx="117">
                  <c:v>42035</c:v>
                </c:pt>
                <c:pt idx="118">
                  <c:v>42004</c:v>
                </c:pt>
                <c:pt idx="119">
                  <c:v>41943</c:v>
                </c:pt>
                <c:pt idx="120">
                  <c:v>41912</c:v>
                </c:pt>
                <c:pt idx="121">
                  <c:v>41882</c:v>
                </c:pt>
                <c:pt idx="122">
                  <c:v>41851</c:v>
                </c:pt>
                <c:pt idx="123">
                  <c:v>41820</c:v>
                </c:pt>
                <c:pt idx="124">
                  <c:v>41790</c:v>
                </c:pt>
                <c:pt idx="125">
                  <c:v>41759</c:v>
                </c:pt>
                <c:pt idx="126">
                  <c:v>41729</c:v>
                </c:pt>
                <c:pt idx="127">
                  <c:v>41698</c:v>
                </c:pt>
                <c:pt idx="128">
                  <c:v>41670</c:v>
                </c:pt>
              </c:numCache>
            </c:numRef>
          </c:cat>
          <c:val>
            <c:numRef>
              <c:f>Sheet1!$D$2:$D$130</c:f>
              <c:numCache>
                <c:formatCode>#,##0.00_ </c:formatCode>
                <c:ptCount val="129"/>
                <c:pt idx="0">
                  <c:v>7.27</c:v>
                </c:pt>
                <c:pt idx="1">
                  <c:v>7.31</c:v>
                </c:pt>
                <c:pt idx="2">
                  <c:v>7.41</c:v>
                </c:pt>
                <c:pt idx="3">
                  <c:v>6.5</c:v>
                </c:pt>
                <c:pt idx="4">
                  <c:v>7</c:v>
                </c:pt>
                <c:pt idx="5">
                  <c:v>7.08</c:v>
                </c:pt>
                <c:pt idx="6">
                  <c:v>6.84</c:v>
                </c:pt>
                <c:pt idx="7">
                  <c:v>6.84</c:v>
                </c:pt>
                <c:pt idx="8">
                  <c:v>6.57</c:v>
                </c:pt>
                <c:pt idx="9">
                  <c:v>6.9</c:v>
                </c:pt>
                <c:pt idx="10">
                  <c:v>7.1</c:v>
                </c:pt>
                <c:pt idx="11">
                  <c:v>6.92</c:v>
                </c:pt>
                <c:pt idx="12">
                  <c:v>7.15</c:v>
                </c:pt>
                <c:pt idx="13">
                  <c:v>7.33</c:v>
                </c:pt>
                <c:pt idx="14">
                  <c:v>7.32</c:v>
                </c:pt>
                <c:pt idx="15">
                  <c:v>7.14</c:v>
                </c:pt>
                <c:pt idx="16">
                  <c:v>7.63</c:v>
                </c:pt>
                <c:pt idx="17">
                  <c:v>6.88</c:v>
                </c:pt>
                <c:pt idx="18">
                  <c:v>6.47</c:v>
                </c:pt>
                <c:pt idx="19">
                  <c:v>6.58</c:v>
                </c:pt>
                <c:pt idx="20">
                  <c:v>6.19</c:v>
                </c:pt>
                <c:pt idx="21">
                  <c:v>6.58</c:v>
                </c:pt>
                <c:pt idx="22">
                  <c:v>6.57</c:v>
                </c:pt>
                <c:pt idx="23">
                  <c:v>6.08</c:v>
                </c:pt>
                <c:pt idx="24">
                  <c:v>7.09</c:v>
                </c:pt>
                <c:pt idx="25">
                  <c:v>7.85</c:v>
                </c:pt>
                <c:pt idx="26">
                  <c:v>6.54</c:v>
                </c:pt>
                <c:pt idx="27">
                  <c:v>6.45</c:v>
                </c:pt>
                <c:pt idx="28">
                  <c:v>6.45</c:v>
                </c:pt>
                <c:pt idx="29">
                  <c:v>5.96</c:v>
                </c:pt>
                <c:pt idx="30">
                  <c:v>6.26</c:v>
                </c:pt>
                <c:pt idx="31">
                  <c:v>6.26</c:v>
                </c:pt>
                <c:pt idx="32">
                  <c:v>6.47</c:v>
                </c:pt>
                <c:pt idx="33">
                  <c:v>6.76</c:v>
                </c:pt>
                <c:pt idx="34">
                  <c:v>6.3</c:v>
                </c:pt>
                <c:pt idx="35">
                  <c:v>5.89</c:v>
                </c:pt>
                <c:pt idx="36">
                  <c:v>6.72</c:v>
                </c:pt>
                <c:pt idx="37">
                  <c:v>6.41</c:v>
                </c:pt>
                <c:pt idx="38">
                  <c:v>6.06</c:v>
                </c:pt>
                <c:pt idx="39">
                  <c:v>5.72</c:v>
                </c:pt>
                <c:pt idx="40">
                  <c:v>5.99</c:v>
                </c:pt>
                <c:pt idx="41">
                  <c:v>5.59</c:v>
                </c:pt>
                <c:pt idx="42">
                  <c:v>5.78</c:v>
                </c:pt>
                <c:pt idx="43">
                  <c:v>6</c:v>
                </c:pt>
                <c:pt idx="44">
                  <c:v>6.3</c:v>
                </c:pt>
                <c:pt idx="45">
                  <c:v>6.57</c:v>
                </c:pt>
                <c:pt idx="46">
                  <c:v>6.8</c:v>
                </c:pt>
                <c:pt idx="47">
                  <c:v>6.5</c:v>
                </c:pt>
                <c:pt idx="48">
                  <c:v>6.85</c:v>
                </c:pt>
                <c:pt idx="49">
                  <c:v>6.92</c:v>
                </c:pt>
                <c:pt idx="50">
                  <c:v>7.04</c:v>
                </c:pt>
                <c:pt idx="51">
                  <c:v>6.7</c:v>
                </c:pt>
                <c:pt idx="52">
                  <c:v>7</c:v>
                </c:pt>
                <c:pt idx="53">
                  <c:v>7.08</c:v>
                </c:pt>
                <c:pt idx="54">
                  <c:v>6.75</c:v>
                </c:pt>
                <c:pt idx="55">
                  <c:v>6.57</c:v>
                </c:pt>
                <c:pt idx="56">
                  <c:v>6.41</c:v>
                </c:pt>
                <c:pt idx="57">
                  <c:v>6.81</c:v>
                </c:pt>
                <c:pt idx="58">
                  <c:v>7.05</c:v>
                </c:pt>
                <c:pt idx="59">
                  <c:v>6.96</c:v>
                </c:pt>
                <c:pt idx="60">
                  <c:v>6.98</c:v>
                </c:pt>
                <c:pt idx="61">
                  <c:v>7</c:v>
                </c:pt>
                <c:pt idx="62">
                  <c:v>6.97</c:v>
                </c:pt>
                <c:pt idx="63">
                  <c:v>6.21</c:v>
                </c:pt>
                <c:pt idx="64">
                  <c:v>6.98</c:v>
                </c:pt>
                <c:pt idx="65">
                  <c:v>6.63</c:v>
                </c:pt>
                <c:pt idx="66">
                  <c:v>6.66</c:v>
                </c:pt>
                <c:pt idx="67">
                  <c:v>7.11</c:v>
                </c:pt>
                <c:pt idx="68">
                  <c:v>7.24</c:v>
                </c:pt>
                <c:pt idx="69">
                  <c:v>7.34</c:v>
                </c:pt>
                <c:pt idx="70">
                  <c:v>7.07</c:v>
                </c:pt>
                <c:pt idx="71">
                  <c:v>6.76</c:v>
                </c:pt>
                <c:pt idx="72">
                  <c:v>7.27</c:v>
                </c:pt>
                <c:pt idx="73">
                  <c:v>7.28</c:v>
                </c:pt>
                <c:pt idx="74">
                  <c:v>6.88</c:v>
                </c:pt>
                <c:pt idx="75">
                  <c:v>7.35</c:v>
                </c:pt>
                <c:pt idx="76">
                  <c:v>7.44</c:v>
                </c:pt>
                <c:pt idx="77">
                  <c:v>7.45</c:v>
                </c:pt>
                <c:pt idx="78">
                  <c:v>7.41</c:v>
                </c:pt>
                <c:pt idx="79">
                  <c:v>7.09</c:v>
                </c:pt>
                <c:pt idx="80">
                  <c:v>7.34</c:v>
                </c:pt>
                <c:pt idx="81">
                  <c:v>7.22</c:v>
                </c:pt>
                <c:pt idx="82">
                  <c:v>7.07</c:v>
                </c:pt>
                <c:pt idx="83">
                  <c:v>7.42</c:v>
                </c:pt>
                <c:pt idx="84">
                  <c:v>7.71</c:v>
                </c:pt>
                <c:pt idx="85">
                  <c:v>7.43</c:v>
                </c:pt>
                <c:pt idx="86">
                  <c:v>7.05</c:v>
                </c:pt>
                <c:pt idx="87">
                  <c:v>7.31</c:v>
                </c:pt>
                <c:pt idx="88">
                  <c:v>7.29</c:v>
                </c:pt>
                <c:pt idx="89">
                  <c:v>7.08</c:v>
                </c:pt>
                <c:pt idx="90">
                  <c:v>7.31</c:v>
                </c:pt>
                <c:pt idx="91">
                  <c:v>7.13</c:v>
                </c:pt>
                <c:pt idx="92">
                  <c:v>7.41</c:v>
                </c:pt>
                <c:pt idx="93">
                  <c:v>7.49</c:v>
                </c:pt>
                <c:pt idx="94">
                  <c:v>7.2</c:v>
                </c:pt>
                <c:pt idx="95">
                  <c:v>7.38</c:v>
                </c:pt>
                <c:pt idx="96">
                  <c:v>7.61</c:v>
                </c:pt>
                <c:pt idx="97">
                  <c:v>7.77</c:v>
                </c:pt>
                <c:pt idx="98">
                  <c:v>7.53</c:v>
                </c:pt>
                <c:pt idx="99">
                  <c:v>7.85</c:v>
                </c:pt>
                <c:pt idx="100">
                  <c:v>8.73</c:v>
                </c:pt>
                <c:pt idx="101">
                  <c:v>7.87</c:v>
                </c:pt>
                <c:pt idx="102">
                  <c:v>8.4</c:v>
                </c:pt>
                <c:pt idx="103">
                  <c:v>8</c:v>
                </c:pt>
                <c:pt idx="104">
                  <c:v>8.7799999999999994</c:v>
                </c:pt>
                <c:pt idx="105">
                  <c:v>8.66</c:v>
                </c:pt>
                <c:pt idx="106">
                  <c:v>8.43</c:v>
                </c:pt>
                <c:pt idx="107">
                  <c:v>8.8800000000000008</c:v>
                </c:pt>
                <c:pt idx="108">
                  <c:v>9.0500000000000007</c:v>
                </c:pt>
                <c:pt idx="109">
                  <c:v>9.02</c:v>
                </c:pt>
                <c:pt idx="110">
                  <c:v>8.4499999999999993</c:v>
                </c:pt>
                <c:pt idx="111">
                  <c:v>8.68</c:v>
                </c:pt>
                <c:pt idx="112">
                  <c:v>7.99</c:v>
                </c:pt>
                <c:pt idx="113">
                  <c:v>7.93</c:v>
                </c:pt>
                <c:pt idx="114">
                  <c:v>7.96</c:v>
                </c:pt>
                <c:pt idx="115">
                  <c:v>8.49</c:v>
                </c:pt>
                <c:pt idx="116">
                  <c:v>8.57</c:v>
                </c:pt>
                <c:pt idx="117">
                  <c:v>8.24</c:v>
                </c:pt>
                <c:pt idx="118">
                  <c:v>7.92</c:v>
                </c:pt>
                <c:pt idx="119">
                  <c:v>8.42</c:v>
                </c:pt>
                <c:pt idx="120">
                  <c:v>8.59</c:v>
                </c:pt>
                <c:pt idx="121">
                  <c:v>8.4</c:v>
                </c:pt>
                <c:pt idx="122">
                  <c:v>8.81</c:v>
                </c:pt>
                <c:pt idx="123">
                  <c:v>8.5399999999999991</c:v>
                </c:pt>
                <c:pt idx="124">
                  <c:v>8.27</c:v>
                </c:pt>
                <c:pt idx="125">
                  <c:v>8.5500000000000007</c:v>
                </c:pt>
                <c:pt idx="126">
                  <c:v>9.24</c:v>
                </c:pt>
                <c:pt idx="127">
                  <c:v>9.44</c:v>
                </c:pt>
                <c:pt idx="128">
                  <c:v>9.3800000000000008</c:v>
                </c:pt>
              </c:numCache>
            </c:numRef>
          </c:val>
          <c:extLst xmlns:c16r2="http://schemas.microsoft.com/office/drawing/2015/06/chart">
            <c:ext xmlns:c16="http://schemas.microsoft.com/office/drawing/2014/chart" uri="{C3380CC4-5D6E-409C-BE32-E72D297353CC}">
              <c16:uniqueId val="{00000002-0972-774A-B4E7-C86E2BF8FC81}"/>
            </c:ext>
          </c:extLst>
        </c:ser>
        <c:ser>
          <c:idx val="3"/>
          <c:order val="3"/>
          <c:tx>
            <c:strRef>
              <c:f>Sheet1!$E$1</c:f>
              <c:strCache>
                <c:ptCount val="1"/>
                <c:pt idx="0">
                  <c:v>人民币</c:v>
                </c:pt>
              </c:strCache>
            </c:strRef>
          </c:tx>
          <c:spPr>
            <a:solidFill>
              <a:srgbClr val="FF0000"/>
            </a:solidFill>
            <a:ln>
              <a:noFill/>
            </a:ln>
            <a:effectLst/>
          </c:spPr>
          <c:cat>
            <c:numRef>
              <c:f>Sheet1!$A$2:$A$130</c:f>
              <c:numCache>
                <c:formatCode>yyyy\-mm</c:formatCode>
                <c:ptCount val="129"/>
                <c:pt idx="0">
                  <c:v>45626</c:v>
                </c:pt>
                <c:pt idx="1">
                  <c:v>45596</c:v>
                </c:pt>
                <c:pt idx="2">
                  <c:v>45565</c:v>
                </c:pt>
                <c:pt idx="3">
                  <c:v>45535</c:v>
                </c:pt>
                <c:pt idx="4">
                  <c:v>45504</c:v>
                </c:pt>
                <c:pt idx="5">
                  <c:v>45473</c:v>
                </c:pt>
                <c:pt idx="6">
                  <c:v>45443</c:v>
                </c:pt>
                <c:pt idx="7">
                  <c:v>45412</c:v>
                </c:pt>
                <c:pt idx="8">
                  <c:v>45382</c:v>
                </c:pt>
                <c:pt idx="9">
                  <c:v>45351</c:v>
                </c:pt>
                <c:pt idx="10">
                  <c:v>45322</c:v>
                </c:pt>
                <c:pt idx="11">
                  <c:v>45291</c:v>
                </c:pt>
                <c:pt idx="12">
                  <c:v>45260</c:v>
                </c:pt>
                <c:pt idx="13">
                  <c:v>45230</c:v>
                </c:pt>
                <c:pt idx="14">
                  <c:v>45199</c:v>
                </c:pt>
                <c:pt idx="15">
                  <c:v>45169</c:v>
                </c:pt>
                <c:pt idx="16">
                  <c:v>45138</c:v>
                </c:pt>
                <c:pt idx="17">
                  <c:v>45107</c:v>
                </c:pt>
                <c:pt idx="18">
                  <c:v>45077</c:v>
                </c:pt>
                <c:pt idx="19">
                  <c:v>45046</c:v>
                </c:pt>
                <c:pt idx="20">
                  <c:v>45016</c:v>
                </c:pt>
                <c:pt idx="21">
                  <c:v>44985</c:v>
                </c:pt>
                <c:pt idx="22">
                  <c:v>44957</c:v>
                </c:pt>
                <c:pt idx="23">
                  <c:v>44926</c:v>
                </c:pt>
                <c:pt idx="24">
                  <c:v>44895</c:v>
                </c:pt>
                <c:pt idx="25">
                  <c:v>44865</c:v>
                </c:pt>
                <c:pt idx="26">
                  <c:v>44834</c:v>
                </c:pt>
                <c:pt idx="27">
                  <c:v>44804</c:v>
                </c:pt>
                <c:pt idx="28">
                  <c:v>44773</c:v>
                </c:pt>
                <c:pt idx="29">
                  <c:v>44742</c:v>
                </c:pt>
                <c:pt idx="30">
                  <c:v>44712</c:v>
                </c:pt>
                <c:pt idx="31">
                  <c:v>44681</c:v>
                </c:pt>
                <c:pt idx="32">
                  <c:v>44651</c:v>
                </c:pt>
                <c:pt idx="33">
                  <c:v>44620</c:v>
                </c:pt>
                <c:pt idx="34">
                  <c:v>44592</c:v>
                </c:pt>
                <c:pt idx="35">
                  <c:v>44561</c:v>
                </c:pt>
                <c:pt idx="36">
                  <c:v>44530</c:v>
                </c:pt>
                <c:pt idx="37">
                  <c:v>44500</c:v>
                </c:pt>
                <c:pt idx="38">
                  <c:v>44469</c:v>
                </c:pt>
                <c:pt idx="39">
                  <c:v>44439</c:v>
                </c:pt>
                <c:pt idx="40">
                  <c:v>44408</c:v>
                </c:pt>
                <c:pt idx="41">
                  <c:v>44377</c:v>
                </c:pt>
                <c:pt idx="42">
                  <c:v>44347</c:v>
                </c:pt>
                <c:pt idx="43">
                  <c:v>44316</c:v>
                </c:pt>
                <c:pt idx="44">
                  <c:v>44286</c:v>
                </c:pt>
                <c:pt idx="45">
                  <c:v>44255</c:v>
                </c:pt>
                <c:pt idx="46">
                  <c:v>44227</c:v>
                </c:pt>
                <c:pt idx="47">
                  <c:v>44196</c:v>
                </c:pt>
                <c:pt idx="48">
                  <c:v>44165</c:v>
                </c:pt>
                <c:pt idx="49">
                  <c:v>44135</c:v>
                </c:pt>
                <c:pt idx="50">
                  <c:v>44104</c:v>
                </c:pt>
                <c:pt idx="51">
                  <c:v>44074</c:v>
                </c:pt>
                <c:pt idx="52">
                  <c:v>44043</c:v>
                </c:pt>
                <c:pt idx="53">
                  <c:v>44012</c:v>
                </c:pt>
                <c:pt idx="54">
                  <c:v>43982</c:v>
                </c:pt>
                <c:pt idx="55">
                  <c:v>43951</c:v>
                </c:pt>
                <c:pt idx="56">
                  <c:v>43921</c:v>
                </c:pt>
                <c:pt idx="57">
                  <c:v>43890</c:v>
                </c:pt>
                <c:pt idx="58">
                  <c:v>43861</c:v>
                </c:pt>
                <c:pt idx="59">
                  <c:v>43830</c:v>
                </c:pt>
                <c:pt idx="60">
                  <c:v>43799</c:v>
                </c:pt>
                <c:pt idx="61">
                  <c:v>43769</c:v>
                </c:pt>
                <c:pt idx="62">
                  <c:v>43738</c:v>
                </c:pt>
                <c:pt idx="63">
                  <c:v>43708</c:v>
                </c:pt>
                <c:pt idx="64">
                  <c:v>43677</c:v>
                </c:pt>
                <c:pt idx="65">
                  <c:v>43646</c:v>
                </c:pt>
                <c:pt idx="66">
                  <c:v>43616</c:v>
                </c:pt>
                <c:pt idx="67">
                  <c:v>43585</c:v>
                </c:pt>
                <c:pt idx="68">
                  <c:v>43555</c:v>
                </c:pt>
                <c:pt idx="69">
                  <c:v>43524</c:v>
                </c:pt>
                <c:pt idx="70">
                  <c:v>43496</c:v>
                </c:pt>
                <c:pt idx="71">
                  <c:v>43465</c:v>
                </c:pt>
                <c:pt idx="72">
                  <c:v>43434</c:v>
                </c:pt>
                <c:pt idx="73">
                  <c:v>43404</c:v>
                </c:pt>
                <c:pt idx="74">
                  <c:v>43343</c:v>
                </c:pt>
                <c:pt idx="75">
                  <c:v>43312</c:v>
                </c:pt>
                <c:pt idx="76">
                  <c:v>43281</c:v>
                </c:pt>
                <c:pt idx="77">
                  <c:v>43251</c:v>
                </c:pt>
                <c:pt idx="78">
                  <c:v>43220</c:v>
                </c:pt>
                <c:pt idx="79">
                  <c:v>43190</c:v>
                </c:pt>
                <c:pt idx="80">
                  <c:v>43159</c:v>
                </c:pt>
                <c:pt idx="81">
                  <c:v>43131</c:v>
                </c:pt>
                <c:pt idx="82">
                  <c:v>43100</c:v>
                </c:pt>
                <c:pt idx="83">
                  <c:v>43069</c:v>
                </c:pt>
                <c:pt idx="84">
                  <c:v>43039</c:v>
                </c:pt>
                <c:pt idx="85">
                  <c:v>43008</c:v>
                </c:pt>
                <c:pt idx="86">
                  <c:v>42978</c:v>
                </c:pt>
                <c:pt idx="87">
                  <c:v>42947</c:v>
                </c:pt>
                <c:pt idx="88">
                  <c:v>42916</c:v>
                </c:pt>
                <c:pt idx="89">
                  <c:v>42886</c:v>
                </c:pt>
                <c:pt idx="90">
                  <c:v>42855</c:v>
                </c:pt>
                <c:pt idx="91">
                  <c:v>42825</c:v>
                </c:pt>
                <c:pt idx="92">
                  <c:v>42794</c:v>
                </c:pt>
                <c:pt idx="93">
                  <c:v>42766</c:v>
                </c:pt>
                <c:pt idx="94">
                  <c:v>42735</c:v>
                </c:pt>
                <c:pt idx="95">
                  <c:v>42704</c:v>
                </c:pt>
                <c:pt idx="96">
                  <c:v>42674</c:v>
                </c:pt>
                <c:pt idx="97">
                  <c:v>42643</c:v>
                </c:pt>
                <c:pt idx="98">
                  <c:v>42613</c:v>
                </c:pt>
                <c:pt idx="99">
                  <c:v>42582</c:v>
                </c:pt>
                <c:pt idx="100">
                  <c:v>42551</c:v>
                </c:pt>
                <c:pt idx="101">
                  <c:v>42521</c:v>
                </c:pt>
                <c:pt idx="102">
                  <c:v>42490</c:v>
                </c:pt>
                <c:pt idx="103">
                  <c:v>42460</c:v>
                </c:pt>
                <c:pt idx="104">
                  <c:v>42429</c:v>
                </c:pt>
                <c:pt idx="105">
                  <c:v>42400</c:v>
                </c:pt>
                <c:pt idx="106">
                  <c:v>42369</c:v>
                </c:pt>
                <c:pt idx="107">
                  <c:v>42338</c:v>
                </c:pt>
                <c:pt idx="108">
                  <c:v>42308</c:v>
                </c:pt>
                <c:pt idx="109">
                  <c:v>42277</c:v>
                </c:pt>
                <c:pt idx="110">
                  <c:v>42247</c:v>
                </c:pt>
                <c:pt idx="111">
                  <c:v>42216</c:v>
                </c:pt>
                <c:pt idx="112">
                  <c:v>42185</c:v>
                </c:pt>
                <c:pt idx="113">
                  <c:v>42155</c:v>
                </c:pt>
                <c:pt idx="114">
                  <c:v>42124</c:v>
                </c:pt>
                <c:pt idx="115">
                  <c:v>42094</c:v>
                </c:pt>
                <c:pt idx="116">
                  <c:v>42063</c:v>
                </c:pt>
                <c:pt idx="117">
                  <c:v>42035</c:v>
                </c:pt>
                <c:pt idx="118">
                  <c:v>42004</c:v>
                </c:pt>
                <c:pt idx="119">
                  <c:v>41943</c:v>
                </c:pt>
                <c:pt idx="120">
                  <c:v>41912</c:v>
                </c:pt>
                <c:pt idx="121">
                  <c:v>41882</c:v>
                </c:pt>
                <c:pt idx="122">
                  <c:v>41851</c:v>
                </c:pt>
                <c:pt idx="123">
                  <c:v>41820</c:v>
                </c:pt>
                <c:pt idx="124">
                  <c:v>41790</c:v>
                </c:pt>
                <c:pt idx="125">
                  <c:v>41759</c:v>
                </c:pt>
                <c:pt idx="126">
                  <c:v>41729</c:v>
                </c:pt>
                <c:pt idx="127">
                  <c:v>41698</c:v>
                </c:pt>
                <c:pt idx="128">
                  <c:v>41670</c:v>
                </c:pt>
              </c:numCache>
            </c:numRef>
          </c:cat>
          <c:val>
            <c:numRef>
              <c:f>Sheet1!$E$2:$E$130</c:f>
              <c:numCache>
                <c:formatCode>#,##0.00_ </c:formatCode>
                <c:ptCount val="129"/>
                <c:pt idx="0">
                  <c:v>3.89</c:v>
                </c:pt>
                <c:pt idx="1">
                  <c:v>2.93</c:v>
                </c:pt>
                <c:pt idx="2">
                  <c:v>3.61</c:v>
                </c:pt>
                <c:pt idx="3">
                  <c:v>4.6900000000000004</c:v>
                </c:pt>
                <c:pt idx="4">
                  <c:v>4.74</c:v>
                </c:pt>
                <c:pt idx="5">
                  <c:v>4.6100000000000003</c:v>
                </c:pt>
                <c:pt idx="6">
                  <c:v>4.47</c:v>
                </c:pt>
                <c:pt idx="7">
                  <c:v>4.5199999999999996</c:v>
                </c:pt>
                <c:pt idx="8">
                  <c:v>4.6900000000000004</c:v>
                </c:pt>
                <c:pt idx="9">
                  <c:v>4</c:v>
                </c:pt>
                <c:pt idx="10">
                  <c:v>4.51</c:v>
                </c:pt>
                <c:pt idx="11">
                  <c:v>4.1399999999999997</c:v>
                </c:pt>
                <c:pt idx="12">
                  <c:v>4.6100000000000003</c:v>
                </c:pt>
                <c:pt idx="13">
                  <c:v>3.6</c:v>
                </c:pt>
                <c:pt idx="14">
                  <c:v>3.71</c:v>
                </c:pt>
                <c:pt idx="15">
                  <c:v>3.47</c:v>
                </c:pt>
                <c:pt idx="16">
                  <c:v>3.06</c:v>
                </c:pt>
                <c:pt idx="17">
                  <c:v>2.77</c:v>
                </c:pt>
                <c:pt idx="18">
                  <c:v>2.54</c:v>
                </c:pt>
                <c:pt idx="19">
                  <c:v>2.29</c:v>
                </c:pt>
                <c:pt idx="20">
                  <c:v>2.2599999999999998</c:v>
                </c:pt>
                <c:pt idx="21">
                  <c:v>2.19</c:v>
                </c:pt>
                <c:pt idx="22">
                  <c:v>1.91</c:v>
                </c:pt>
                <c:pt idx="23">
                  <c:v>2.15</c:v>
                </c:pt>
                <c:pt idx="24">
                  <c:v>2.37</c:v>
                </c:pt>
                <c:pt idx="25">
                  <c:v>2.13</c:v>
                </c:pt>
                <c:pt idx="26">
                  <c:v>2.44</c:v>
                </c:pt>
                <c:pt idx="27">
                  <c:v>2.31</c:v>
                </c:pt>
                <c:pt idx="28">
                  <c:v>2.2000000000000002</c:v>
                </c:pt>
                <c:pt idx="29">
                  <c:v>2.17</c:v>
                </c:pt>
                <c:pt idx="30">
                  <c:v>2.15</c:v>
                </c:pt>
                <c:pt idx="31">
                  <c:v>2.14</c:v>
                </c:pt>
                <c:pt idx="32">
                  <c:v>2.2000000000000002</c:v>
                </c:pt>
                <c:pt idx="33">
                  <c:v>2.23</c:v>
                </c:pt>
                <c:pt idx="34">
                  <c:v>3.2</c:v>
                </c:pt>
                <c:pt idx="35">
                  <c:v>2.7</c:v>
                </c:pt>
                <c:pt idx="36">
                  <c:v>2.14</c:v>
                </c:pt>
                <c:pt idx="37">
                  <c:v>1.85</c:v>
                </c:pt>
                <c:pt idx="38">
                  <c:v>2.19</c:v>
                </c:pt>
                <c:pt idx="39">
                  <c:v>2.15</c:v>
                </c:pt>
                <c:pt idx="40">
                  <c:v>2.19</c:v>
                </c:pt>
                <c:pt idx="41">
                  <c:v>2.46</c:v>
                </c:pt>
                <c:pt idx="42">
                  <c:v>1.9</c:v>
                </c:pt>
                <c:pt idx="43">
                  <c:v>1.95</c:v>
                </c:pt>
                <c:pt idx="44">
                  <c:v>2.4900000000000002</c:v>
                </c:pt>
                <c:pt idx="45">
                  <c:v>2.2000000000000002</c:v>
                </c:pt>
                <c:pt idx="46">
                  <c:v>2.42</c:v>
                </c:pt>
                <c:pt idx="47">
                  <c:v>1.88</c:v>
                </c:pt>
                <c:pt idx="48">
                  <c:v>2</c:v>
                </c:pt>
                <c:pt idx="49">
                  <c:v>1.66</c:v>
                </c:pt>
                <c:pt idx="50">
                  <c:v>1.97</c:v>
                </c:pt>
                <c:pt idx="51">
                  <c:v>1.91</c:v>
                </c:pt>
                <c:pt idx="52">
                  <c:v>1.86</c:v>
                </c:pt>
                <c:pt idx="53">
                  <c:v>1.76</c:v>
                </c:pt>
                <c:pt idx="54">
                  <c:v>1.79</c:v>
                </c:pt>
                <c:pt idx="55">
                  <c:v>1.66</c:v>
                </c:pt>
                <c:pt idx="56">
                  <c:v>1.85</c:v>
                </c:pt>
                <c:pt idx="57">
                  <c:v>2.11</c:v>
                </c:pt>
                <c:pt idx="58">
                  <c:v>1.65</c:v>
                </c:pt>
                <c:pt idx="59">
                  <c:v>1.94</c:v>
                </c:pt>
                <c:pt idx="60">
                  <c:v>1.93</c:v>
                </c:pt>
                <c:pt idx="61">
                  <c:v>1.65</c:v>
                </c:pt>
                <c:pt idx="62">
                  <c:v>1.95</c:v>
                </c:pt>
                <c:pt idx="63">
                  <c:v>2.2200000000000002</c:v>
                </c:pt>
                <c:pt idx="64">
                  <c:v>1.81</c:v>
                </c:pt>
                <c:pt idx="65">
                  <c:v>1.99</c:v>
                </c:pt>
                <c:pt idx="66">
                  <c:v>1.95</c:v>
                </c:pt>
                <c:pt idx="67">
                  <c:v>1.88</c:v>
                </c:pt>
                <c:pt idx="68">
                  <c:v>1.89</c:v>
                </c:pt>
                <c:pt idx="69">
                  <c:v>1.85</c:v>
                </c:pt>
                <c:pt idx="70">
                  <c:v>2.15</c:v>
                </c:pt>
                <c:pt idx="71">
                  <c:v>2.0699999999999998</c:v>
                </c:pt>
                <c:pt idx="72">
                  <c:v>2.09</c:v>
                </c:pt>
                <c:pt idx="73">
                  <c:v>1.7</c:v>
                </c:pt>
                <c:pt idx="74">
                  <c:v>2.12</c:v>
                </c:pt>
                <c:pt idx="75">
                  <c:v>2.04</c:v>
                </c:pt>
                <c:pt idx="76">
                  <c:v>1.81</c:v>
                </c:pt>
                <c:pt idx="77">
                  <c:v>1.88</c:v>
                </c:pt>
                <c:pt idx="78">
                  <c:v>1.66</c:v>
                </c:pt>
                <c:pt idx="79">
                  <c:v>1.62</c:v>
                </c:pt>
                <c:pt idx="80">
                  <c:v>1.56</c:v>
                </c:pt>
                <c:pt idx="81">
                  <c:v>1.66</c:v>
                </c:pt>
                <c:pt idx="82">
                  <c:v>1.61</c:v>
                </c:pt>
                <c:pt idx="83">
                  <c:v>1.75</c:v>
                </c:pt>
                <c:pt idx="84">
                  <c:v>1.46</c:v>
                </c:pt>
                <c:pt idx="85">
                  <c:v>1.85</c:v>
                </c:pt>
                <c:pt idx="86">
                  <c:v>1.94</c:v>
                </c:pt>
                <c:pt idx="87">
                  <c:v>2</c:v>
                </c:pt>
                <c:pt idx="88">
                  <c:v>1.98</c:v>
                </c:pt>
                <c:pt idx="89">
                  <c:v>1.61</c:v>
                </c:pt>
                <c:pt idx="90">
                  <c:v>1.6</c:v>
                </c:pt>
                <c:pt idx="91">
                  <c:v>1.78</c:v>
                </c:pt>
                <c:pt idx="92">
                  <c:v>1.84</c:v>
                </c:pt>
                <c:pt idx="93">
                  <c:v>1.68</c:v>
                </c:pt>
                <c:pt idx="94">
                  <c:v>1.68</c:v>
                </c:pt>
                <c:pt idx="95">
                  <c:v>2</c:v>
                </c:pt>
                <c:pt idx="96">
                  <c:v>1.67</c:v>
                </c:pt>
                <c:pt idx="97">
                  <c:v>2.0299999999999998</c:v>
                </c:pt>
                <c:pt idx="98">
                  <c:v>1.86</c:v>
                </c:pt>
                <c:pt idx="99">
                  <c:v>1.9</c:v>
                </c:pt>
                <c:pt idx="100">
                  <c:v>1.72</c:v>
                </c:pt>
                <c:pt idx="101">
                  <c:v>1.9</c:v>
                </c:pt>
                <c:pt idx="102">
                  <c:v>1.82</c:v>
                </c:pt>
                <c:pt idx="103">
                  <c:v>1.88</c:v>
                </c:pt>
                <c:pt idx="104">
                  <c:v>1.76</c:v>
                </c:pt>
                <c:pt idx="105">
                  <c:v>2.4500000000000002</c:v>
                </c:pt>
                <c:pt idx="106">
                  <c:v>2.31</c:v>
                </c:pt>
                <c:pt idx="107">
                  <c:v>2.2799999999999998</c:v>
                </c:pt>
                <c:pt idx="108">
                  <c:v>1.92</c:v>
                </c:pt>
                <c:pt idx="109">
                  <c:v>2.4500000000000002</c:v>
                </c:pt>
                <c:pt idx="110">
                  <c:v>2.79</c:v>
                </c:pt>
                <c:pt idx="111">
                  <c:v>2.34</c:v>
                </c:pt>
                <c:pt idx="112">
                  <c:v>2.09</c:v>
                </c:pt>
                <c:pt idx="113">
                  <c:v>2.1800000000000002</c:v>
                </c:pt>
                <c:pt idx="114">
                  <c:v>2.0699999999999998</c:v>
                </c:pt>
                <c:pt idx="115">
                  <c:v>2.0299999999999998</c:v>
                </c:pt>
                <c:pt idx="116">
                  <c:v>1.81</c:v>
                </c:pt>
                <c:pt idx="117">
                  <c:v>2.06</c:v>
                </c:pt>
                <c:pt idx="118">
                  <c:v>2.17</c:v>
                </c:pt>
                <c:pt idx="119">
                  <c:v>1.59</c:v>
                </c:pt>
                <c:pt idx="120">
                  <c:v>1.72</c:v>
                </c:pt>
                <c:pt idx="121">
                  <c:v>1.64</c:v>
                </c:pt>
                <c:pt idx="122">
                  <c:v>1.57</c:v>
                </c:pt>
                <c:pt idx="123">
                  <c:v>1.55</c:v>
                </c:pt>
                <c:pt idx="124">
                  <c:v>1.47</c:v>
                </c:pt>
                <c:pt idx="125">
                  <c:v>1.43</c:v>
                </c:pt>
                <c:pt idx="126">
                  <c:v>1.62</c:v>
                </c:pt>
                <c:pt idx="127">
                  <c:v>1.42</c:v>
                </c:pt>
                <c:pt idx="128">
                  <c:v>1.39</c:v>
                </c:pt>
              </c:numCache>
            </c:numRef>
          </c:val>
          <c:extLst xmlns:c16r2="http://schemas.microsoft.com/office/drawing/2015/06/chart">
            <c:ext xmlns:c16="http://schemas.microsoft.com/office/drawing/2014/chart" uri="{C3380CC4-5D6E-409C-BE32-E72D297353CC}">
              <c16:uniqueId val="{00000003-0972-774A-B4E7-C86E2BF8FC81}"/>
            </c:ext>
          </c:extLst>
        </c:ser>
        <c:ser>
          <c:idx val="4"/>
          <c:order val="4"/>
          <c:tx>
            <c:strRef>
              <c:f>Sheet1!$F$1</c:f>
              <c:strCache>
                <c:ptCount val="1"/>
                <c:pt idx="0">
                  <c:v>日元</c:v>
                </c:pt>
              </c:strCache>
            </c:strRef>
          </c:tx>
          <c:spPr>
            <a:solidFill>
              <a:srgbClr val="7030A0"/>
            </a:solidFill>
            <a:ln>
              <a:noFill/>
            </a:ln>
            <a:effectLst/>
          </c:spPr>
          <c:cat>
            <c:numRef>
              <c:f>Sheet1!$A$2:$A$130</c:f>
              <c:numCache>
                <c:formatCode>yyyy\-mm</c:formatCode>
                <c:ptCount val="129"/>
                <c:pt idx="0">
                  <c:v>45626</c:v>
                </c:pt>
                <c:pt idx="1">
                  <c:v>45596</c:v>
                </c:pt>
                <c:pt idx="2">
                  <c:v>45565</c:v>
                </c:pt>
                <c:pt idx="3">
                  <c:v>45535</c:v>
                </c:pt>
                <c:pt idx="4">
                  <c:v>45504</c:v>
                </c:pt>
                <c:pt idx="5">
                  <c:v>45473</c:v>
                </c:pt>
                <c:pt idx="6">
                  <c:v>45443</c:v>
                </c:pt>
                <c:pt idx="7">
                  <c:v>45412</c:v>
                </c:pt>
                <c:pt idx="8">
                  <c:v>45382</c:v>
                </c:pt>
                <c:pt idx="9">
                  <c:v>45351</c:v>
                </c:pt>
                <c:pt idx="10">
                  <c:v>45322</c:v>
                </c:pt>
                <c:pt idx="11">
                  <c:v>45291</c:v>
                </c:pt>
                <c:pt idx="12">
                  <c:v>45260</c:v>
                </c:pt>
                <c:pt idx="13">
                  <c:v>45230</c:v>
                </c:pt>
                <c:pt idx="14">
                  <c:v>45199</c:v>
                </c:pt>
                <c:pt idx="15">
                  <c:v>45169</c:v>
                </c:pt>
                <c:pt idx="16">
                  <c:v>45138</c:v>
                </c:pt>
                <c:pt idx="17">
                  <c:v>45107</c:v>
                </c:pt>
                <c:pt idx="18">
                  <c:v>45077</c:v>
                </c:pt>
                <c:pt idx="19">
                  <c:v>45046</c:v>
                </c:pt>
                <c:pt idx="20">
                  <c:v>45016</c:v>
                </c:pt>
                <c:pt idx="21">
                  <c:v>44985</c:v>
                </c:pt>
                <c:pt idx="22">
                  <c:v>44957</c:v>
                </c:pt>
                <c:pt idx="23">
                  <c:v>44926</c:v>
                </c:pt>
                <c:pt idx="24">
                  <c:v>44895</c:v>
                </c:pt>
                <c:pt idx="25">
                  <c:v>44865</c:v>
                </c:pt>
                <c:pt idx="26">
                  <c:v>44834</c:v>
                </c:pt>
                <c:pt idx="27">
                  <c:v>44804</c:v>
                </c:pt>
                <c:pt idx="28">
                  <c:v>44773</c:v>
                </c:pt>
                <c:pt idx="29">
                  <c:v>44742</c:v>
                </c:pt>
                <c:pt idx="30">
                  <c:v>44712</c:v>
                </c:pt>
                <c:pt idx="31">
                  <c:v>44681</c:v>
                </c:pt>
                <c:pt idx="32">
                  <c:v>44651</c:v>
                </c:pt>
                <c:pt idx="33">
                  <c:v>44620</c:v>
                </c:pt>
                <c:pt idx="34">
                  <c:v>44592</c:v>
                </c:pt>
                <c:pt idx="35">
                  <c:v>44561</c:v>
                </c:pt>
                <c:pt idx="36">
                  <c:v>44530</c:v>
                </c:pt>
                <c:pt idx="37">
                  <c:v>44500</c:v>
                </c:pt>
                <c:pt idx="38">
                  <c:v>44469</c:v>
                </c:pt>
                <c:pt idx="39">
                  <c:v>44439</c:v>
                </c:pt>
                <c:pt idx="40">
                  <c:v>44408</c:v>
                </c:pt>
                <c:pt idx="41">
                  <c:v>44377</c:v>
                </c:pt>
                <c:pt idx="42">
                  <c:v>44347</c:v>
                </c:pt>
                <c:pt idx="43">
                  <c:v>44316</c:v>
                </c:pt>
                <c:pt idx="44">
                  <c:v>44286</c:v>
                </c:pt>
                <c:pt idx="45">
                  <c:v>44255</c:v>
                </c:pt>
                <c:pt idx="46">
                  <c:v>44227</c:v>
                </c:pt>
                <c:pt idx="47">
                  <c:v>44196</c:v>
                </c:pt>
                <c:pt idx="48">
                  <c:v>44165</c:v>
                </c:pt>
                <c:pt idx="49">
                  <c:v>44135</c:v>
                </c:pt>
                <c:pt idx="50">
                  <c:v>44104</c:v>
                </c:pt>
                <c:pt idx="51">
                  <c:v>44074</c:v>
                </c:pt>
                <c:pt idx="52">
                  <c:v>44043</c:v>
                </c:pt>
                <c:pt idx="53">
                  <c:v>44012</c:v>
                </c:pt>
                <c:pt idx="54">
                  <c:v>43982</c:v>
                </c:pt>
                <c:pt idx="55">
                  <c:v>43951</c:v>
                </c:pt>
                <c:pt idx="56">
                  <c:v>43921</c:v>
                </c:pt>
                <c:pt idx="57">
                  <c:v>43890</c:v>
                </c:pt>
                <c:pt idx="58">
                  <c:v>43861</c:v>
                </c:pt>
                <c:pt idx="59">
                  <c:v>43830</c:v>
                </c:pt>
                <c:pt idx="60">
                  <c:v>43799</c:v>
                </c:pt>
                <c:pt idx="61">
                  <c:v>43769</c:v>
                </c:pt>
                <c:pt idx="62">
                  <c:v>43738</c:v>
                </c:pt>
                <c:pt idx="63">
                  <c:v>43708</c:v>
                </c:pt>
                <c:pt idx="64">
                  <c:v>43677</c:v>
                </c:pt>
                <c:pt idx="65">
                  <c:v>43646</c:v>
                </c:pt>
                <c:pt idx="66">
                  <c:v>43616</c:v>
                </c:pt>
                <c:pt idx="67">
                  <c:v>43585</c:v>
                </c:pt>
                <c:pt idx="68">
                  <c:v>43555</c:v>
                </c:pt>
                <c:pt idx="69">
                  <c:v>43524</c:v>
                </c:pt>
                <c:pt idx="70">
                  <c:v>43496</c:v>
                </c:pt>
                <c:pt idx="71">
                  <c:v>43465</c:v>
                </c:pt>
                <c:pt idx="72">
                  <c:v>43434</c:v>
                </c:pt>
                <c:pt idx="73">
                  <c:v>43404</c:v>
                </c:pt>
                <c:pt idx="74">
                  <c:v>43343</c:v>
                </c:pt>
                <c:pt idx="75">
                  <c:v>43312</c:v>
                </c:pt>
                <c:pt idx="76">
                  <c:v>43281</c:v>
                </c:pt>
                <c:pt idx="77">
                  <c:v>43251</c:v>
                </c:pt>
                <c:pt idx="78">
                  <c:v>43220</c:v>
                </c:pt>
                <c:pt idx="79">
                  <c:v>43190</c:v>
                </c:pt>
                <c:pt idx="80">
                  <c:v>43159</c:v>
                </c:pt>
                <c:pt idx="81">
                  <c:v>43131</c:v>
                </c:pt>
                <c:pt idx="82">
                  <c:v>43100</c:v>
                </c:pt>
                <c:pt idx="83">
                  <c:v>43069</c:v>
                </c:pt>
                <c:pt idx="84">
                  <c:v>43039</c:v>
                </c:pt>
                <c:pt idx="85">
                  <c:v>43008</c:v>
                </c:pt>
                <c:pt idx="86">
                  <c:v>42978</c:v>
                </c:pt>
                <c:pt idx="87">
                  <c:v>42947</c:v>
                </c:pt>
                <c:pt idx="88">
                  <c:v>42916</c:v>
                </c:pt>
                <c:pt idx="89">
                  <c:v>42886</c:v>
                </c:pt>
                <c:pt idx="90">
                  <c:v>42855</c:v>
                </c:pt>
                <c:pt idx="91">
                  <c:v>42825</c:v>
                </c:pt>
                <c:pt idx="92">
                  <c:v>42794</c:v>
                </c:pt>
                <c:pt idx="93">
                  <c:v>42766</c:v>
                </c:pt>
                <c:pt idx="94">
                  <c:v>42735</c:v>
                </c:pt>
                <c:pt idx="95">
                  <c:v>42704</c:v>
                </c:pt>
                <c:pt idx="96">
                  <c:v>42674</c:v>
                </c:pt>
                <c:pt idx="97">
                  <c:v>42643</c:v>
                </c:pt>
                <c:pt idx="98">
                  <c:v>42613</c:v>
                </c:pt>
                <c:pt idx="99">
                  <c:v>42582</c:v>
                </c:pt>
                <c:pt idx="100">
                  <c:v>42551</c:v>
                </c:pt>
                <c:pt idx="101">
                  <c:v>42521</c:v>
                </c:pt>
                <c:pt idx="102">
                  <c:v>42490</c:v>
                </c:pt>
                <c:pt idx="103">
                  <c:v>42460</c:v>
                </c:pt>
                <c:pt idx="104">
                  <c:v>42429</c:v>
                </c:pt>
                <c:pt idx="105">
                  <c:v>42400</c:v>
                </c:pt>
                <c:pt idx="106">
                  <c:v>42369</c:v>
                </c:pt>
                <c:pt idx="107">
                  <c:v>42338</c:v>
                </c:pt>
                <c:pt idx="108">
                  <c:v>42308</c:v>
                </c:pt>
                <c:pt idx="109">
                  <c:v>42277</c:v>
                </c:pt>
                <c:pt idx="110">
                  <c:v>42247</c:v>
                </c:pt>
                <c:pt idx="111">
                  <c:v>42216</c:v>
                </c:pt>
                <c:pt idx="112">
                  <c:v>42185</c:v>
                </c:pt>
                <c:pt idx="113">
                  <c:v>42155</c:v>
                </c:pt>
                <c:pt idx="114">
                  <c:v>42124</c:v>
                </c:pt>
                <c:pt idx="115">
                  <c:v>42094</c:v>
                </c:pt>
                <c:pt idx="116">
                  <c:v>42063</c:v>
                </c:pt>
                <c:pt idx="117">
                  <c:v>42035</c:v>
                </c:pt>
                <c:pt idx="118">
                  <c:v>42004</c:v>
                </c:pt>
                <c:pt idx="119">
                  <c:v>41943</c:v>
                </c:pt>
                <c:pt idx="120">
                  <c:v>41912</c:v>
                </c:pt>
                <c:pt idx="121">
                  <c:v>41882</c:v>
                </c:pt>
                <c:pt idx="122">
                  <c:v>41851</c:v>
                </c:pt>
                <c:pt idx="123">
                  <c:v>41820</c:v>
                </c:pt>
                <c:pt idx="124">
                  <c:v>41790</c:v>
                </c:pt>
                <c:pt idx="125">
                  <c:v>41759</c:v>
                </c:pt>
                <c:pt idx="126">
                  <c:v>41729</c:v>
                </c:pt>
                <c:pt idx="127">
                  <c:v>41698</c:v>
                </c:pt>
                <c:pt idx="128">
                  <c:v>41670</c:v>
                </c:pt>
              </c:numCache>
            </c:numRef>
          </c:cat>
          <c:val>
            <c:numRef>
              <c:f>Sheet1!$F$2:$F$130</c:f>
              <c:numCache>
                <c:formatCode>#,##0.00_ </c:formatCode>
                <c:ptCount val="129"/>
                <c:pt idx="0">
                  <c:v>3.44</c:v>
                </c:pt>
                <c:pt idx="1">
                  <c:v>3.91</c:v>
                </c:pt>
                <c:pt idx="2">
                  <c:v>4.2699999999999996</c:v>
                </c:pt>
                <c:pt idx="3">
                  <c:v>3.98</c:v>
                </c:pt>
                <c:pt idx="4">
                  <c:v>3.62</c:v>
                </c:pt>
                <c:pt idx="5">
                  <c:v>3.75</c:v>
                </c:pt>
                <c:pt idx="6">
                  <c:v>3.61</c:v>
                </c:pt>
                <c:pt idx="7">
                  <c:v>3.97</c:v>
                </c:pt>
                <c:pt idx="8">
                  <c:v>4.13</c:v>
                </c:pt>
                <c:pt idx="9">
                  <c:v>3.73</c:v>
                </c:pt>
                <c:pt idx="10">
                  <c:v>3.56</c:v>
                </c:pt>
                <c:pt idx="11">
                  <c:v>3.83</c:v>
                </c:pt>
                <c:pt idx="12">
                  <c:v>3.41</c:v>
                </c:pt>
                <c:pt idx="13">
                  <c:v>3.91</c:v>
                </c:pt>
                <c:pt idx="14">
                  <c:v>4.2</c:v>
                </c:pt>
                <c:pt idx="15">
                  <c:v>3.68</c:v>
                </c:pt>
                <c:pt idx="16">
                  <c:v>3.51</c:v>
                </c:pt>
                <c:pt idx="17">
                  <c:v>3.36</c:v>
                </c:pt>
                <c:pt idx="18">
                  <c:v>3.11</c:v>
                </c:pt>
                <c:pt idx="19">
                  <c:v>3.51</c:v>
                </c:pt>
                <c:pt idx="20">
                  <c:v>4.78</c:v>
                </c:pt>
                <c:pt idx="21">
                  <c:v>2.98</c:v>
                </c:pt>
                <c:pt idx="22">
                  <c:v>3.15</c:v>
                </c:pt>
                <c:pt idx="23">
                  <c:v>2.88</c:v>
                </c:pt>
                <c:pt idx="24">
                  <c:v>2.54</c:v>
                </c:pt>
                <c:pt idx="25">
                  <c:v>2.95</c:v>
                </c:pt>
                <c:pt idx="26">
                  <c:v>2.88</c:v>
                </c:pt>
                <c:pt idx="27">
                  <c:v>2.73</c:v>
                </c:pt>
                <c:pt idx="28">
                  <c:v>2.82</c:v>
                </c:pt>
                <c:pt idx="29">
                  <c:v>3.01</c:v>
                </c:pt>
                <c:pt idx="30">
                  <c:v>2.71</c:v>
                </c:pt>
                <c:pt idx="31">
                  <c:v>3.08</c:v>
                </c:pt>
                <c:pt idx="32">
                  <c:v>2.8</c:v>
                </c:pt>
                <c:pt idx="33">
                  <c:v>2.71</c:v>
                </c:pt>
                <c:pt idx="34">
                  <c:v>2.79</c:v>
                </c:pt>
                <c:pt idx="35">
                  <c:v>2.58</c:v>
                </c:pt>
                <c:pt idx="36">
                  <c:v>2.58</c:v>
                </c:pt>
                <c:pt idx="37">
                  <c:v>2.9</c:v>
                </c:pt>
                <c:pt idx="38">
                  <c:v>2.84</c:v>
                </c:pt>
                <c:pt idx="39">
                  <c:v>2.73</c:v>
                </c:pt>
                <c:pt idx="40">
                  <c:v>2.74</c:v>
                </c:pt>
                <c:pt idx="41">
                  <c:v>2.66</c:v>
                </c:pt>
                <c:pt idx="42">
                  <c:v>3.02</c:v>
                </c:pt>
                <c:pt idx="43">
                  <c:v>3.45</c:v>
                </c:pt>
                <c:pt idx="44">
                  <c:v>3.49</c:v>
                </c:pt>
                <c:pt idx="45">
                  <c:v>3.18</c:v>
                </c:pt>
                <c:pt idx="46">
                  <c:v>3.49</c:v>
                </c:pt>
                <c:pt idx="47">
                  <c:v>3.59</c:v>
                </c:pt>
                <c:pt idx="48">
                  <c:v>3.44</c:v>
                </c:pt>
                <c:pt idx="49">
                  <c:v>3.59</c:v>
                </c:pt>
                <c:pt idx="50">
                  <c:v>3.43</c:v>
                </c:pt>
                <c:pt idx="51">
                  <c:v>3.61</c:v>
                </c:pt>
                <c:pt idx="52">
                  <c:v>3.46</c:v>
                </c:pt>
                <c:pt idx="53">
                  <c:v>3.74</c:v>
                </c:pt>
                <c:pt idx="54">
                  <c:v>3.53</c:v>
                </c:pt>
                <c:pt idx="55">
                  <c:v>3.79</c:v>
                </c:pt>
                <c:pt idx="56">
                  <c:v>3.98</c:v>
                </c:pt>
                <c:pt idx="57">
                  <c:v>3.42</c:v>
                </c:pt>
                <c:pt idx="58">
                  <c:v>3.32</c:v>
                </c:pt>
                <c:pt idx="59">
                  <c:v>3.46</c:v>
                </c:pt>
                <c:pt idx="60">
                  <c:v>3.49</c:v>
                </c:pt>
                <c:pt idx="61">
                  <c:v>3.64</c:v>
                </c:pt>
                <c:pt idx="62">
                  <c:v>3.72</c:v>
                </c:pt>
                <c:pt idx="63">
                  <c:v>3.61</c:v>
                </c:pt>
                <c:pt idx="64">
                  <c:v>3.63</c:v>
                </c:pt>
                <c:pt idx="65">
                  <c:v>3.73</c:v>
                </c:pt>
                <c:pt idx="66">
                  <c:v>3.18</c:v>
                </c:pt>
                <c:pt idx="67">
                  <c:v>3.47</c:v>
                </c:pt>
                <c:pt idx="68">
                  <c:v>3.46</c:v>
                </c:pt>
                <c:pt idx="69">
                  <c:v>3.51</c:v>
                </c:pt>
                <c:pt idx="70">
                  <c:v>3.3</c:v>
                </c:pt>
                <c:pt idx="71">
                  <c:v>3.36</c:v>
                </c:pt>
                <c:pt idx="72">
                  <c:v>3.55</c:v>
                </c:pt>
                <c:pt idx="73">
                  <c:v>3.65</c:v>
                </c:pt>
                <c:pt idx="74">
                  <c:v>3.43</c:v>
                </c:pt>
                <c:pt idx="75">
                  <c:v>3.44</c:v>
                </c:pt>
                <c:pt idx="76">
                  <c:v>3.6</c:v>
                </c:pt>
                <c:pt idx="77">
                  <c:v>3.54</c:v>
                </c:pt>
                <c:pt idx="78">
                  <c:v>3.47</c:v>
                </c:pt>
                <c:pt idx="79">
                  <c:v>3.5</c:v>
                </c:pt>
                <c:pt idx="80">
                  <c:v>3.29</c:v>
                </c:pt>
                <c:pt idx="81">
                  <c:v>2.8</c:v>
                </c:pt>
                <c:pt idx="82">
                  <c:v>2.96</c:v>
                </c:pt>
                <c:pt idx="83">
                  <c:v>2.62</c:v>
                </c:pt>
                <c:pt idx="84">
                  <c:v>2.92</c:v>
                </c:pt>
                <c:pt idx="85">
                  <c:v>3.1</c:v>
                </c:pt>
                <c:pt idx="86">
                  <c:v>3.01</c:v>
                </c:pt>
                <c:pt idx="87">
                  <c:v>3.15</c:v>
                </c:pt>
                <c:pt idx="88">
                  <c:v>3.16</c:v>
                </c:pt>
                <c:pt idx="89">
                  <c:v>3.11</c:v>
                </c:pt>
                <c:pt idx="90">
                  <c:v>3.53</c:v>
                </c:pt>
                <c:pt idx="91">
                  <c:v>3.31</c:v>
                </c:pt>
                <c:pt idx="92">
                  <c:v>3.3</c:v>
                </c:pt>
                <c:pt idx="93">
                  <c:v>3.06</c:v>
                </c:pt>
                <c:pt idx="94">
                  <c:v>3.4</c:v>
                </c:pt>
                <c:pt idx="95">
                  <c:v>3.38</c:v>
                </c:pt>
                <c:pt idx="96">
                  <c:v>3.38</c:v>
                </c:pt>
                <c:pt idx="97">
                  <c:v>3.53</c:v>
                </c:pt>
                <c:pt idx="98">
                  <c:v>3.37</c:v>
                </c:pt>
                <c:pt idx="99">
                  <c:v>3.42</c:v>
                </c:pt>
                <c:pt idx="100">
                  <c:v>3.46</c:v>
                </c:pt>
                <c:pt idx="101">
                  <c:v>3.16</c:v>
                </c:pt>
                <c:pt idx="102">
                  <c:v>3.24</c:v>
                </c:pt>
                <c:pt idx="103">
                  <c:v>3.27</c:v>
                </c:pt>
                <c:pt idx="104">
                  <c:v>3.16</c:v>
                </c:pt>
                <c:pt idx="105">
                  <c:v>3.07</c:v>
                </c:pt>
                <c:pt idx="106">
                  <c:v>2.78</c:v>
                </c:pt>
                <c:pt idx="107">
                  <c:v>2.68</c:v>
                </c:pt>
                <c:pt idx="108">
                  <c:v>3</c:v>
                </c:pt>
                <c:pt idx="109">
                  <c:v>2.88</c:v>
                </c:pt>
                <c:pt idx="110">
                  <c:v>2.76</c:v>
                </c:pt>
                <c:pt idx="111">
                  <c:v>2.88</c:v>
                </c:pt>
                <c:pt idx="112">
                  <c:v>2.85</c:v>
                </c:pt>
                <c:pt idx="113">
                  <c:v>2.6</c:v>
                </c:pt>
                <c:pt idx="114">
                  <c:v>2.73</c:v>
                </c:pt>
                <c:pt idx="115">
                  <c:v>3.07</c:v>
                </c:pt>
                <c:pt idx="116">
                  <c:v>2.75</c:v>
                </c:pt>
                <c:pt idx="117">
                  <c:v>2.79</c:v>
                </c:pt>
                <c:pt idx="118">
                  <c:v>2.69</c:v>
                </c:pt>
                <c:pt idx="119">
                  <c:v>2.91</c:v>
                </c:pt>
                <c:pt idx="120">
                  <c:v>2.74</c:v>
                </c:pt>
                <c:pt idx="121">
                  <c:v>2.4700000000000002</c:v>
                </c:pt>
                <c:pt idx="122">
                  <c:v>2.38</c:v>
                </c:pt>
                <c:pt idx="123">
                  <c:v>2.5</c:v>
                </c:pt>
                <c:pt idx="124">
                  <c:v>2.21</c:v>
                </c:pt>
                <c:pt idx="125">
                  <c:v>2.35</c:v>
                </c:pt>
                <c:pt idx="126">
                  <c:v>2.4900000000000002</c:v>
                </c:pt>
                <c:pt idx="127">
                  <c:v>2.5099999999999998</c:v>
                </c:pt>
                <c:pt idx="128">
                  <c:v>2.4900000000000002</c:v>
                </c:pt>
              </c:numCache>
            </c:numRef>
          </c:val>
          <c:extLst xmlns:c16r2="http://schemas.microsoft.com/office/drawing/2015/06/chart">
            <c:ext xmlns:c16="http://schemas.microsoft.com/office/drawing/2014/chart" uri="{C3380CC4-5D6E-409C-BE32-E72D297353CC}">
              <c16:uniqueId val="{00000004-0972-774A-B4E7-C86E2BF8FC81}"/>
            </c:ext>
          </c:extLst>
        </c:ser>
        <c:dLbls>
          <c:showLegendKey val="0"/>
          <c:showVal val="0"/>
          <c:showCatName val="0"/>
          <c:showSerName val="0"/>
          <c:showPercent val="0"/>
          <c:showBubbleSize val="0"/>
        </c:dLbls>
        <c:axId val="1060220000"/>
        <c:axId val="1060217648"/>
      </c:areaChart>
      <c:dateAx>
        <c:axId val="1060220000"/>
        <c:scaling>
          <c:orientation val="minMax"/>
        </c:scaling>
        <c:delete val="0"/>
        <c:axPos val="b"/>
        <c:numFmt formatCode="yyyy\-mm"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CN"/>
          </a:p>
        </c:txPr>
        <c:crossAx val="1060217648"/>
        <c:crosses val="autoZero"/>
        <c:auto val="1"/>
        <c:lblOffset val="100"/>
        <c:baseTimeUnit val="months"/>
        <c:majorUnit val="5"/>
        <c:majorTimeUnit val="months"/>
      </c:dateAx>
      <c:valAx>
        <c:axId val="1060217648"/>
        <c:scaling>
          <c:orientation val="minMax"/>
          <c:max val="90"/>
        </c:scaling>
        <c:delete val="0"/>
        <c:axPos val="l"/>
        <c:numFmt formatCode="#,##0_ " sourceLinked="0"/>
        <c:majorTickMark val="in"/>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CN"/>
          </a:p>
        </c:txPr>
        <c:crossAx val="1060220000"/>
        <c:crosses val="autoZero"/>
        <c:crossBetween val="midCat"/>
        <c:majorUnit val="30"/>
      </c:valAx>
      <c:spPr>
        <a:noFill/>
        <a:ln>
          <a:noFill/>
        </a:ln>
        <a:effectLst/>
      </c:spPr>
    </c:plotArea>
    <c:legend>
      <c:legendPos val="b"/>
      <c:layout>
        <c:manualLayout>
          <c:xMode val="edge"/>
          <c:yMode val="edge"/>
          <c:x val="0.24075555026270268"/>
          <c:y val="1.5211888987832413E-2"/>
          <c:w val="0.56679973808578177"/>
          <c:h val="8.36803541274844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imSun" panose="02010600030101010101" pitchFamily="2" charset="-122"/>
              <a:ea typeface="SimSun" panose="02010600030101010101" pitchFamily="2" charset="-122"/>
              <a:cs typeface="+mn-cs"/>
            </a:defRPr>
          </a:pPr>
          <a:endParaRPr lang="zh-CN"/>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9916974663881303E-2"/>
          <c:y val="4.7507572464866796E-2"/>
          <c:w val="0.85259865475999175"/>
          <c:h val="0.76352885286001637"/>
        </c:manualLayout>
      </c:layout>
      <c:lineChart>
        <c:grouping val="standard"/>
        <c:varyColors val="0"/>
        <c:ser>
          <c:idx val="0"/>
          <c:order val="0"/>
          <c:tx>
            <c:strRef>
              <c:f>Sheet4!$B$1</c:f>
              <c:strCache>
                <c:ptCount val="1"/>
                <c:pt idx="0">
                  <c:v>美国持有中国（含香港）证券</c:v>
                </c:pt>
              </c:strCache>
            </c:strRef>
          </c:tx>
          <c:marker>
            <c:symbol val="none"/>
          </c:marker>
          <c:cat>
            <c:numRef>
              <c:f>Sheet4!$A$2:$A$21</c:f>
              <c:numCache>
                <c:formatCode>General</c:formatCode>
                <c:ptCount val="20"/>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numCache>
            </c:numRef>
          </c:cat>
          <c:val>
            <c:numRef>
              <c:f>Sheet4!$B$2:$B$21</c:f>
              <c:numCache>
                <c:formatCode>General</c:formatCode>
                <c:ptCount val="20"/>
                <c:pt idx="0">
                  <c:v>500.73</c:v>
                </c:pt>
                <c:pt idx="1">
                  <c:v>746.68</c:v>
                </c:pt>
                <c:pt idx="2">
                  <c:v>1628.32</c:v>
                </c:pt>
                <c:pt idx="3">
                  <c:v>2186.23</c:v>
                </c:pt>
                <c:pt idx="4">
                  <c:v>1197.18</c:v>
                </c:pt>
                <c:pt idx="5">
                  <c:v>1951.88</c:v>
                </c:pt>
                <c:pt idx="6">
                  <c:v>2370.4299999999998</c:v>
                </c:pt>
                <c:pt idx="7">
                  <c:v>1924.41</c:v>
                </c:pt>
                <c:pt idx="8">
                  <c:v>2371.39</c:v>
                </c:pt>
                <c:pt idx="9">
                  <c:v>2434.89</c:v>
                </c:pt>
                <c:pt idx="10">
                  <c:v>2840.59</c:v>
                </c:pt>
                <c:pt idx="11">
                  <c:v>2421.04</c:v>
                </c:pt>
                <c:pt idx="12">
                  <c:v>2255.7399999999998</c:v>
                </c:pt>
                <c:pt idx="13">
                  <c:v>3258.17</c:v>
                </c:pt>
                <c:pt idx="14">
                  <c:v>3295.95</c:v>
                </c:pt>
                <c:pt idx="15">
                  <c:v>4029.95</c:v>
                </c:pt>
                <c:pt idx="16">
                  <c:v>4527.9799999999996</c:v>
                </c:pt>
                <c:pt idx="17">
                  <c:v>4518.9399999999996</c:v>
                </c:pt>
                <c:pt idx="18">
                  <c:v>3699.79</c:v>
                </c:pt>
                <c:pt idx="19">
                  <c:v>3204.39</c:v>
                </c:pt>
              </c:numCache>
            </c:numRef>
          </c:val>
          <c:smooth val="0"/>
          <c:extLst xmlns:c16r2="http://schemas.microsoft.com/office/drawing/2015/06/chart">
            <c:ext xmlns:c16="http://schemas.microsoft.com/office/drawing/2014/chart" uri="{C3380CC4-5D6E-409C-BE32-E72D297353CC}">
              <c16:uniqueId val="{00000000-6EF7-4AC9-A9AF-77A764F750F3}"/>
            </c:ext>
          </c:extLst>
        </c:ser>
        <c:ser>
          <c:idx val="1"/>
          <c:order val="1"/>
          <c:tx>
            <c:strRef>
              <c:f>Sheet4!$C$1</c:f>
              <c:strCache>
                <c:ptCount val="1"/>
                <c:pt idx="0">
                  <c:v>中国（含香港）持有美国证券</c:v>
                </c:pt>
              </c:strCache>
            </c:strRef>
          </c:tx>
          <c:marker>
            <c:symbol val="none"/>
          </c:marker>
          <c:cat>
            <c:numRef>
              <c:f>Sheet4!$A$2:$A$21</c:f>
              <c:numCache>
                <c:formatCode>General</c:formatCode>
                <c:ptCount val="20"/>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numCache>
            </c:numRef>
          </c:cat>
          <c:val>
            <c:numRef>
              <c:f>Sheet4!$C$2:$C$21</c:f>
              <c:numCache>
                <c:formatCode>General</c:formatCode>
                <c:ptCount val="20"/>
                <c:pt idx="0">
                  <c:v>3634.71</c:v>
                </c:pt>
                <c:pt idx="1">
                  <c:v>5506.22</c:v>
                </c:pt>
                <c:pt idx="2">
                  <c:v>7210.27</c:v>
                </c:pt>
                <c:pt idx="3">
                  <c:v>9525.9500000000007</c:v>
                </c:pt>
                <c:pt idx="4">
                  <c:v>12344.02</c:v>
                </c:pt>
                <c:pt idx="5">
                  <c:v>14923.77</c:v>
                </c:pt>
                <c:pt idx="6">
                  <c:v>16436.060000000001</c:v>
                </c:pt>
                <c:pt idx="7">
                  <c:v>17700.95</c:v>
                </c:pt>
                <c:pt idx="8">
                  <c:v>16394.25</c:v>
                </c:pt>
                <c:pt idx="9">
                  <c:v>17908.150000000001</c:v>
                </c:pt>
                <c:pt idx="10">
                  <c:v>18912.32</c:v>
                </c:pt>
                <c:pt idx="11">
                  <c:v>19214.02</c:v>
                </c:pt>
                <c:pt idx="12">
                  <c:v>17041.71</c:v>
                </c:pt>
                <c:pt idx="13">
                  <c:v>16363.03</c:v>
                </c:pt>
                <c:pt idx="14">
                  <c:v>17196.63</c:v>
                </c:pt>
                <c:pt idx="15">
                  <c:v>16533.16</c:v>
                </c:pt>
                <c:pt idx="16">
                  <c:v>16948.55</c:v>
                </c:pt>
                <c:pt idx="17">
                  <c:v>17448.189999999999</c:v>
                </c:pt>
                <c:pt idx="18">
                  <c:v>16151.33</c:v>
                </c:pt>
                <c:pt idx="19">
                  <c:v>15999.61</c:v>
                </c:pt>
              </c:numCache>
            </c:numRef>
          </c:val>
          <c:smooth val="0"/>
          <c:extLst xmlns:c16r2="http://schemas.microsoft.com/office/drawing/2015/06/chart">
            <c:ext xmlns:c16="http://schemas.microsoft.com/office/drawing/2014/chart" uri="{C3380CC4-5D6E-409C-BE32-E72D297353CC}">
              <c16:uniqueId val="{00000001-6EF7-4AC9-A9AF-77A764F750F3}"/>
            </c:ext>
          </c:extLst>
        </c:ser>
        <c:dLbls>
          <c:showLegendKey val="0"/>
          <c:showVal val="0"/>
          <c:showCatName val="0"/>
          <c:showSerName val="0"/>
          <c:showPercent val="0"/>
          <c:showBubbleSize val="0"/>
        </c:dLbls>
        <c:smooth val="0"/>
        <c:axId val="425547456"/>
        <c:axId val="425545888"/>
      </c:lineChart>
      <c:catAx>
        <c:axId val="425547456"/>
        <c:scaling>
          <c:orientation val="minMax"/>
        </c:scaling>
        <c:delete val="0"/>
        <c:axPos val="b"/>
        <c:numFmt formatCode="General" sourceLinked="1"/>
        <c:majorTickMark val="out"/>
        <c:minorTickMark val="none"/>
        <c:tickLblPos val="nextTo"/>
        <c:crossAx val="425545888"/>
        <c:crosses val="autoZero"/>
        <c:auto val="1"/>
        <c:lblAlgn val="ctr"/>
        <c:lblOffset val="100"/>
        <c:noMultiLvlLbl val="0"/>
      </c:catAx>
      <c:valAx>
        <c:axId val="425545888"/>
        <c:scaling>
          <c:orientation val="minMax"/>
        </c:scaling>
        <c:delete val="0"/>
        <c:axPos val="l"/>
        <c:numFmt formatCode="General" sourceLinked="1"/>
        <c:majorTickMark val="out"/>
        <c:minorTickMark val="none"/>
        <c:tickLblPos val="nextTo"/>
        <c:crossAx val="425547456"/>
        <c:crosses val="autoZero"/>
        <c:crossBetween val="between"/>
      </c:valAx>
    </c:plotArea>
    <c:legend>
      <c:legendPos val="r"/>
      <c:layout>
        <c:manualLayout>
          <c:xMode val="edge"/>
          <c:yMode val="edge"/>
          <c:x val="0.20553935860058314"/>
          <c:y val="2.4322521302295473E-2"/>
          <c:w val="0.62439261418853254"/>
          <c:h val="0.16402076826404399"/>
        </c:manualLayout>
      </c:layout>
      <c:overlay val="0"/>
    </c:legend>
    <c:plotVisOnly val="1"/>
    <c:dispBlanksAs val="gap"/>
    <c:showDLblsOverMax val="0"/>
  </c:chart>
  <c:txPr>
    <a:bodyPr/>
    <a:lstStyle/>
    <a:p>
      <a:pPr>
        <a:defRPr sz="600"/>
      </a:pPr>
      <a:endParaRPr lang="zh-CN"/>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270294752978872E-2"/>
          <c:y val="4.1920731707317076E-2"/>
          <c:w val="0.90439342206118045"/>
          <c:h val="0.78249471864797393"/>
        </c:manualLayout>
      </c:layout>
      <c:lineChart>
        <c:grouping val="standard"/>
        <c:varyColors val="0"/>
        <c:ser>
          <c:idx val="0"/>
          <c:order val="0"/>
          <c:tx>
            <c:strRef>
              <c:f>Sheet1!$B$1</c:f>
              <c:strCache>
                <c:ptCount val="1"/>
                <c:pt idx="0">
                  <c:v>美国</c:v>
                </c:pt>
              </c:strCache>
            </c:strRef>
          </c:tx>
          <c:spPr>
            <a:ln w="9525" cap="rnd">
              <a:solidFill>
                <a:schemeClr val="accent1"/>
              </a:solidFill>
              <a:round/>
            </a:ln>
            <a:effectLst/>
          </c:spPr>
          <c:marker>
            <c:symbol val="none"/>
          </c:marker>
          <c:cat>
            <c:numRef>
              <c:f>Sheet1!$A$2:$A$12</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Sheet1!$B$2:$B$12</c:f>
              <c:numCache>
                <c:formatCode>General</c:formatCode>
                <c:ptCount val="11"/>
                <c:pt idx="0">
                  <c:v>77.616751219999998</c:v>
                </c:pt>
                <c:pt idx="1">
                  <c:v>80.840296980000005</c:v>
                </c:pt>
                <c:pt idx="2">
                  <c:v>83.41455929</c:v>
                </c:pt>
                <c:pt idx="3">
                  <c:v>86.389940420000002</c:v>
                </c:pt>
                <c:pt idx="4">
                  <c:v>88.563411270000003</c:v>
                </c:pt>
                <c:pt idx="5">
                  <c:v>91.997883479999999</c:v>
                </c:pt>
                <c:pt idx="6">
                  <c:v>97.412632360000003</c:v>
                </c:pt>
                <c:pt idx="7">
                  <c:v>104.0094003</c:v>
                </c:pt>
                <c:pt idx="8">
                  <c:v>112.1436521</c:v>
                </c:pt>
                <c:pt idx="9">
                  <c:v>126.8921694</c:v>
                </c:pt>
                <c:pt idx="10">
                  <c:v>134.2615801</c:v>
                </c:pt>
              </c:numCache>
            </c:numRef>
          </c:val>
          <c:smooth val="0"/>
          <c:extLst xmlns:c16r2="http://schemas.microsoft.com/office/drawing/2015/06/chart">
            <c:ext xmlns:c16="http://schemas.microsoft.com/office/drawing/2014/chart" uri="{C3380CC4-5D6E-409C-BE32-E72D297353CC}">
              <c16:uniqueId val="{00000000-339F-4AD5-A37F-A4B9EDD98800}"/>
            </c:ext>
          </c:extLst>
        </c:ser>
        <c:ser>
          <c:idx val="1"/>
          <c:order val="1"/>
          <c:tx>
            <c:strRef>
              <c:f>Sheet1!$C$1</c:f>
              <c:strCache>
                <c:ptCount val="1"/>
                <c:pt idx="0">
                  <c:v>中国</c:v>
                </c:pt>
              </c:strCache>
            </c:strRef>
          </c:tx>
          <c:spPr>
            <a:ln w="1270" cap="rnd">
              <a:solidFill>
                <a:schemeClr val="accent2"/>
              </a:solidFill>
              <a:round/>
            </a:ln>
            <a:effectLst/>
          </c:spPr>
          <c:marker>
            <c:symbol val="triangle"/>
            <c:size val="3"/>
            <c:spPr>
              <a:solidFill>
                <a:schemeClr val="accent2"/>
              </a:solidFill>
              <a:ln w="9525">
                <a:solidFill>
                  <a:schemeClr val="accent2"/>
                </a:solidFill>
              </a:ln>
              <a:effectLst/>
            </c:spPr>
          </c:marker>
          <c:cat>
            <c:numRef>
              <c:f>Sheet1!$A$2:$A$12</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Sheet1!$C$2:$C$12</c:f>
              <c:numCache>
                <c:formatCode>General</c:formatCode>
                <c:ptCount val="11"/>
                <c:pt idx="0">
                  <c:v>164.39930267605601</c:v>
                </c:pt>
                <c:pt idx="1">
                  <c:v>207.06431338028199</c:v>
                </c:pt>
                <c:pt idx="2">
                  <c:v>235.53914943661999</c:v>
                </c:pt>
                <c:pt idx="3">
                  <c:v>465.45576112676099</c:v>
                </c:pt>
                <c:pt idx="4">
                  <c:v>499.23460394366202</c:v>
                </c:pt>
                <c:pt idx="5">
                  <c:v>510.83774591549297</c:v>
                </c:pt>
                <c:pt idx="6">
                  <c:v>514.048285352113</c:v>
                </c:pt>
                <c:pt idx="7">
                  <c:v>517.59900704225402</c:v>
                </c:pt>
                <c:pt idx="8">
                  <c:v>553.80797971830998</c:v>
                </c:pt>
                <c:pt idx="9">
                  <c:v>611.22523859154899</c:v>
                </c:pt>
                <c:pt idx="10">
                  <c:v>667.50946690140802</c:v>
                </c:pt>
              </c:numCache>
            </c:numRef>
          </c:val>
          <c:smooth val="0"/>
          <c:extLst xmlns:c16r2="http://schemas.microsoft.com/office/drawing/2015/06/chart">
            <c:ext xmlns:c16="http://schemas.microsoft.com/office/drawing/2014/chart" uri="{C3380CC4-5D6E-409C-BE32-E72D297353CC}">
              <c16:uniqueId val="{00000001-339F-4AD5-A37F-A4B9EDD98800}"/>
            </c:ext>
          </c:extLst>
        </c:ser>
        <c:dLbls>
          <c:showLegendKey val="0"/>
          <c:showVal val="0"/>
          <c:showCatName val="0"/>
          <c:showSerName val="0"/>
          <c:showPercent val="0"/>
          <c:showBubbleSize val="0"/>
        </c:dLbls>
        <c:smooth val="0"/>
        <c:axId val="425543144"/>
        <c:axId val="425548240"/>
      </c:lineChart>
      <c:catAx>
        <c:axId val="425543144"/>
        <c:scaling>
          <c:orientation val="minMax"/>
        </c:scaling>
        <c:delete val="0"/>
        <c:axPos val="b"/>
        <c:numFmt formatCode="General" sourceLinked="1"/>
        <c:majorTickMark val="in"/>
        <c:minorTickMark val="none"/>
        <c:tickLblPos val="nextTo"/>
        <c:spPr>
          <a:noFill/>
          <a:ln w="1270" cap="flat" cmpd="sng" algn="ctr">
            <a:solidFill>
              <a:schemeClr val="tx1"/>
            </a:solidFill>
            <a:prstDash val="solid"/>
            <a:round/>
            <a:headEnd type="none"/>
            <a:tailEnd type="none"/>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25548240"/>
        <c:crosses val="autoZero"/>
        <c:auto val="1"/>
        <c:lblAlgn val="ctr"/>
        <c:lblOffset val="100"/>
        <c:noMultiLvlLbl val="0"/>
      </c:catAx>
      <c:valAx>
        <c:axId val="425548240"/>
        <c:scaling>
          <c:orientation val="minMax"/>
        </c:scaling>
        <c:delete val="0"/>
        <c:axPos val="l"/>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万亿美元</a:t>
                </a:r>
                <a:endParaRPr lang="zh-CN" altLang="en-US"/>
              </a:p>
            </c:rich>
          </c:tx>
          <c:layout>
            <c:manualLayout>
              <c:xMode val="edge"/>
              <c:yMode val="edge"/>
              <c:x val="0.10049752630478713"/>
              <c:y val="1.7562896101401958E-2"/>
            </c:manualLayout>
          </c:layout>
          <c:overlay val="0"/>
          <c:spPr>
            <a:noFill/>
            <a:ln>
              <a:noFill/>
            </a:ln>
            <a:effectLst/>
          </c:spPr>
        </c:title>
        <c:numFmt formatCode="General" sourceLinked="1"/>
        <c:majorTickMark val="in"/>
        <c:minorTickMark val="none"/>
        <c:tickLblPos val="nextTo"/>
        <c:spPr>
          <a:noFill/>
          <a:ln w="1270">
            <a:solidFill>
              <a:schemeClr val="tx1"/>
            </a:solid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255431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xmlns:c16r2="http://schemas.microsoft.com/office/drawing/2015/06/chart">
      <c:ext uri="{0b15fc19-7d7d-44ad-8c2d-2c3a37ce22c3}">
        <chartProps xmlns="https://web.wps.cn/et/2018/main" chartId="{e59d14e1-59f9-44f5-b6ba-aa33a6cb29bd}"/>
      </c:ext>
    </c:extLst>
  </c:chart>
  <c:spPr>
    <a:solidFill>
      <a:schemeClr val="bg1"/>
    </a:solidFill>
    <a:ln w="9525" cap="flat" cmpd="sng" algn="ctr">
      <a:noFill/>
      <a:round/>
    </a:ln>
    <a:effectLst/>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私募股权基金中国!$E$8</c:f>
              <c:strCache>
                <c:ptCount val="1"/>
                <c:pt idx="0">
                  <c:v>中国</c:v>
                </c:pt>
              </c:strCache>
            </c:strRef>
          </c:tx>
          <c:spPr>
            <a:ln w="28575" cap="rnd">
              <a:solidFill>
                <a:schemeClr val="accent1"/>
              </a:solidFill>
              <a:round/>
            </a:ln>
            <a:effectLst/>
          </c:spPr>
          <c:marker>
            <c:symbol val="none"/>
          </c:marker>
          <c:dLbls>
            <c:delete val="1"/>
          </c:dLbls>
          <c:cat>
            <c:numRef>
              <c:f>私募股权基金中国!$A$9:$A$17</c:f>
              <c:numCache>
                <c:formatCode>yyyy</c:formatCode>
                <c:ptCount val="9"/>
                <c:pt idx="0">
                  <c:v>42369</c:v>
                </c:pt>
                <c:pt idx="1">
                  <c:v>42735</c:v>
                </c:pt>
                <c:pt idx="2">
                  <c:v>43100</c:v>
                </c:pt>
                <c:pt idx="3">
                  <c:v>43465</c:v>
                </c:pt>
                <c:pt idx="4">
                  <c:v>43830</c:v>
                </c:pt>
                <c:pt idx="5">
                  <c:v>44196</c:v>
                </c:pt>
                <c:pt idx="6">
                  <c:v>44561</c:v>
                </c:pt>
                <c:pt idx="7">
                  <c:v>44926</c:v>
                </c:pt>
                <c:pt idx="8">
                  <c:v>45291</c:v>
                </c:pt>
              </c:numCache>
            </c:numRef>
          </c:cat>
          <c:val>
            <c:numRef>
              <c:f>私募股权基金中国!$E$9:$E$17</c:f>
              <c:numCache>
                <c:formatCode>#,##0.00_ </c:formatCode>
                <c:ptCount val="9"/>
                <c:pt idx="0">
                  <c:v>3844.0934065934098</c:v>
                </c:pt>
                <c:pt idx="1">
                  <c:v>5940.7967032966999</c:v>
                </c:pt>
                <c:pt idx="2">
                  <c:v>6714.6978021978002</c:v>
                </c:pt>
                <c:pt idx="3">
                  <c:v>10592.5824175824</c:v>
                </c:pt>
                <c:pt idx="4">
                  <c:v>11803.8461538462</c:v>
                </c:pt>
                <c:pt idx="5">
                  <c:v>12995.006868131901</c:v>
                </c:pt>
                <c:pt idx="6">
                  <c:v>14439.0370879121</c:v>
                </c:pt>
                <c:pt idx="7">
                  <c:v>15026.399725274699</c:v>
                </c:pt>
                <c:pt idx="8">
                  <c:v>15273.0398351648</c:v>
                </c:pt>
              </c:numCache>
            </c:numRef>
          </c:val>
          <c:smooth val="0"/>
          <c:extLst xmlns:c16r2="http://schemas.microsoft.com/office/drawing/2015/06/chart">
            <c:ext xmlns:c16="http://schemas.microsoft.com/office/drawing/2014/chart" uri="{C3380CC4-5D6E-409C-BE32-E72D297353CC}">
              <c16:uniqueId val="{00000000-8FF4-4F63-8284-7D24956C4805}"/>
            </c:ext>
          </c:extLst>
        </c:ser>
        <c:ser>
          <c:idx val="1"/>
          <c:order val="1"/>
          <c:tx>
            <c:strRef>
              <c:f>私募股权基金中国!$F$8</c:f>
              <c:strCache>
                <c:ptCount val="1"/>
                <c:pt idx="0">
                  <c:v>美国</c:v>
                </c:pt>
              </c:strCache>
            </c:strRef>
          </c:tx>
          <c:spPr>
            <a:ln w="28575" cap="rnd">
              <a:solidFill>
                <a:schemeClr val="accent2"/>
              </a:solidFill>
              <a:round/>
            </a:ln>
            <a:effectLst/>
          </c:spPr>
          <c:marker>
            <c:symbol val="none"/>
          </c:marker>
          <c:dLbls>
            <c:delete val="1"/>
          </c:dLbls>
          <c:cat>
            <c:numRef>
              <c:f>私募股权基金中国!$A$9:$A$17</c:f>
              <c:numCache>
                <c:formatCode>yyyy</c:formatCode>
                <c:ptCount val="9"/>
                <c:pt idx="0">
                  <c:v>42369</c:v>
                </c:pt>
                <c:pt idx="1">
                  <c:v>42735</c:v>
                </c:pt>
                <c:pt idx="2">
                  <c:v>43100</c:v>
                </c:pt>
                <c:pt idx="3">
                  <c:v>43465</c:v>
                </c:pt>
                <c:pt idx="4">
                  <c:v>43830</c:v>
                </c:pt>
                <c:pt idx="5">
                  <c:v>44196</c:v>
                </c:pt>
                <c:pt idx="6">
                  <c:v>44561</c:v>
                </c:pt>
                <c:pt idx="7">
                  <c:v>44926</c:v>
                </c:pt>
                <c:pt idx="8">
                  <c:v>45291</c:v>
                </c:pt>
              </c:numCache>
            </c:numRef>
          </c:cat>
          <c:val>
            <c:numRef>
              <c:f>私募股权基金中国!$F$9:$F$17</c:f>
              <c:numCache>
                <c:formatCode>General</c:formatCode>
                <c:ptCount val="9"/>
                <c:pt idx="0">
                  <c:v>18850</c:v>
                </c:pt>
                <c:pt idx="1">
                  <c:v>20750</c:v>
                </c:pt>
                <c:pt idx="2">
                  <c:v>24420</c:v>
                </c:pt>
                <c:pt idx="3">
                  <c:v>28150</c:v>
                </c:pt>
                <c:pt idx="4">
                  <c:v>33060</c:v>
                </c:pt>
                <c:pt idx="5">
                  <c:v>41660</c:v>
                </c:pt>
                <c:pt idx="6">
                  <c:v>57500</c:v>
                </c:pt>
                <c:pt idx="7">
                  <c:v>60300</c:v>
                </c:pt>
                <c:pt idx="8">
                  <c:v>67380</c:v>
                </c:pt>
              </c:numCache>
            </c:numRef>
          </c:val>
          <c:smooth val="0"/>
          <c:extLst xmlns:c16r2="http://schemas.microsoft.com/office/drawing/2015/06/chart">
            <c:ext xmlns:c16="http://schemas.microsoft.com/office/drawing/2014/chart" uri="{C3380CC4-5D6E-409C-BE32-E72D297353CC}">
              <c16:uniqueId val="{00000001-8FF4-4F63-8284-7D24956C4805}"/>
            </c:ext>
          </c:extLst>
        </c:ser>
        <c:dLbls>
          <c:showLegendKey val="0"/>
          <c:showVal val="1"/>
          <c:showCatName val="0"/>
          <c:showSerName val="0"/>
          <c:showPercent val="0"/>
          <c:showBubbleSize val="0"/>
        </c:dLbls>
        <c:smooth val="0"/>
        <c:axId val="1060218040"/>
        <c:axId val="1060218432"/>
      </c:lineChart>
      <c:dateAx>
        <c:axId val="1060218040"/>
        <c:scaling>
          <c:orientation val="minMax"/>
        </c:scaling>
        <c:delete val="0"/>
        <c:axPos val="b"/>
        <c:numFmt formatCode="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060218432"/>
        <c:crosses val="autoZero"/>
        <c:auto val="1"/>
        <c:lblOffset val="100"/>
        <c:baseTimeUnit val="years"/>
      </c:dateAx>
      <c:valAx>
        <c:axId val="1060218432"/>
        <c:scaling>
          <c:orientation val="minMax"/>
        </c:scaling>
        <c:delete val="0"/>
        <c:axPos val="l"/>
        <c:numFmt formatCode="0_ " sourceLinked="0"/>
        <c:majorTickMark val="none"/>
        <c:minorTickMark val="none"/>
        <c:tickLblPos val="nextTo"/>
        <c:spPr>
          <a:noFill/>
          <a:ln>
            <a:solidFill>
              <a:srgbClr val="4F81BD">
                <a:shade val="95000"/>
                <a:satMod val="105000"/>
              </a:srgbClr>
            </a:solid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0602180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294685039370078"/>
          <c:y val="5.1400554097404488E-2"/>
          <c:w val="0.83426137357830266"/>
          <c:h val="0.8326195683872849"/>
        </c:manualLayout>
      </c:layout>
      <c:lineChart>
        <c:grouping val="standard"/>
        <c:varyColors val="0"/>
        <c:ser>
          <c:idx val="0"/>
          <c:order val="0"/>
          <c:tx>
            <c:strRef>
              <c:f>Sheet1!$A$2</c:f>
              <c:strCache>
                <c:ptCount val="1"/>
                <c:pt idx="0">
                  <c:v>VC交易笔数</c:v>
                </c:pt>
              </c:strCache>
            </c:strRef>
          </c:tx>
          <c:marker>
            <c:symbol val="none"/>
          </c:marker>
          <c:cat>
            <c:numRef>
              <c:f>Sheet1!$B$1:$K$1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Sheet1!$B$2:$K$2</c:f>
              <c:numCache>
                <c:formatCode>0.0%</c:formatCode>
                <c:ptCount val="10"/>
                <c:pt idx="0">
                  <c:v>9.9262347658755606E-2</c:v>
                </c:pt>
                <c:pt idx="1">
                  <c:v>8.0245193647255506E-2</c:v>
                </c:pt>
                <c:pt idx="2">
                  <c:v>8.2102272727272732E-2</c:v>
                </c:pt>
                <c:pt idx="3">
                  <c:v>0.11867781760254878</c:v>
                </c:pt>
                <c:pt idx="4">
                  <c:v>0.10871830496700244</c:v>
                </c:pt>
                <c:pt idx="5">
                  <c:v>0.11624489795918368</c:v>
                </c:pt>
                <c:pt idx="6">
                  <c:v>0.12952469064415403</c:v>
                </c:pt>
                <c:pt idx="7">
                  <c:v>8.8128626692456483E-2</c:v>
                </c:pt>
                <c:pt idx="8">
                  <c:v>6.1449435106089835E-2</c:v>
                </c:pt>
                <c:pt idx="9">
                  <c:v>5.554259043173862E-2</c:v>
                </c:pt>
              </c:numCache>
            </c:numRef>
          </c:val>
          <c:smooth val="0"/>
          <c:extLst xmlns:c16r2="http://schemas.microsoft.com/office/drawing/2015/06/chart">
            <c:ext xmlns:c16="http://schemas.microsoft.com/office/drawing/2014/chart" uri="{C3380CC4-5D6E-409C-BE32-E72D297353CC}">
              <c16:uniqueId val="{00000000-4254-4735-8FF3-41190E97525E}"/>
            </c:ext>
          </c:extLst>
        </c:ser>
        <c:ser>
          <c:idx val="1"/>
          <c:order val="1"/>
          <c:tx>
            <c:strRef>
              <c:f>Sheet1!$A$3</c:f>
              <c:strCache>
                <c:ptCount val="1"/>
                <c:pt idx="0">
                  <c:v>PE交易笔数</c:v>
                </c:pt>
              </c:strCache>
            </c:strRef>
          </c:tx>
          <c:marker>
            <c:symbol val="none"/>
          </c:marker>
          <c:cat>
            <c:numRef>
              <c:f>Sheet1!$B$1:$K$1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Sheet1!$B$3:$K$3</c:f>
              <c:numCache>
                <c:formatCode>0.0%</c:formatCode>
                <c:ptCount val="10"/>
                <c:pt idx="0">
                  <c:v>0.28735632183908044</c:v>
                </c:pt>
                <c:pt idx="1">
                  <c:v>0.20078740157480315</c:v>
                </c:pt>
                <c:pt idx="2">
                  <c:v>0.22826086956521738</c:v>
                </c:pt>
                <c:pt idx="3">
                  <c:v>0.24124513618677043</c:v>
                </c:pt>
                <c:pt idx="4">
                  <c:v>0.27165354330708663</c:v>
                </c:pt>
                <c:pt idx="5">
                  <c:v>0.14878048780487804</c:v>
                </c:pt>
                <c:pt idx="6">
                  <c:v>0.14980544747081712</c:v>
                </c:pt>
                <c:pt idx="7">
                  <c:v>0.10185185185185185</c:v>
                </c:pt>
                <c:pt idx="8">
                  <c:v>0.11842105263157894</c:v>
                </c:pt>
                <c:pt idx="9">
                  <c:v>0.18562874251497005</c:v>
                </c:pt>
              </c:numCache>
            </c:numRef>
          </c:val>
          <c:smooth val="0"/>
          <c:extLst xmlns:c16r2="http://schemas.microsoft.com/office/drawing/2015/06/chart">
            <c:ext xmlns:c16="http://schemas.microsoft.com/office/drawing/2014/chart" uri="{C3380CC4-5D6E-409C-BE32-E72D297353CC}">
              <c16:uniqueId val="{00000001-4254-4735-8FF3-41190E97525E}"/>
            </c:ext>
          </c:extLst>
        </c:ser>
        <c:dLbls>
          <c:showLegendKey val="0"/>
          <c:showVal val="0"/>
          <c:showCatName val="0"/>
          <c:showSerName val="0"/>
          <c:showPercent val="0"/>
          <c:showBubbleSize val="0"/>
        </c:dLbls>
        <c:smooth val="0"/>
        <c:axId val="1060220392"/>
        <c:axId val="885931200"/>
      </c:lineChart>
      <c:catAx>
        <c:axId val="1060220392"/>
        <c:scaling>
          <c:orientation val="minMax"/>
        </c:scaling>
        <c:delete val="0"/>
        <c:axPos val="b"/>
        <c:numFmt formatCode="General" sourceLinked="1"/>
        <c:majorTickMark val="out"/>
        <c:minorTickMark val="none"/>
        <c:tickLblPos val="nextTo"/>
        <c:crossAx val="885931200"/>
        <c:crosses val="autoZero"/>
        <c:auto val="1"/>
        <c:lblAlgn val="ctr"/>
        <c:lblOffset val="100"/>
        <c:noMultiLvlLbl val="0"/>
      </c:catAx>
      <c:valAx>
        <c:axId val="885931200"/>
        <c:scaling>
          <c:orientation val="minMax"/>
        </c:scaling>
        <c:delete val="0"/>
        <c:axPos val="l"/>
        <c:numFmt formatCode="0.0%" sourceLinked="1"/>
        <c:majorTickMark val="out"/>
        <c:minorTickMark val="none"/>
        <c:tickLblPos val="nextTo"/>
        <c:crossAx val="1060220392"/>
        <c:crosses val="autoZero"/>
        <c:crossBetween val="between"/>
      </c:valAx>
    </c:plotArea>
    <c:legend>
      <c:legendPos val="r"/>
      <c:layout>
        <c:manualLayout>
          <c:xMode val="edge"/>
          <c:yMode val="edge"/>
          <c:x val="0.18331933508311463"/>
          <c:y val="2.7393919510061246E-2"/>
          <c:w val="0.65279177602799654"/>
          <c:h val="0.12576771653543306"/>
        </c:manualLayout>
      </c:layout>
      <c:overlay val="0"/>
    </c:legend>
    <c:plotVisOnly val="1"/>
    <c:dispBlanksAs val="gap"/>
    <c:showDLblsOverMax val="0"/>
  </c:chart>
  <c:txPr>
    <a:bodyPr/>
    <a:lstStyle/>
    <a:p>
      <a:pPr>
        <a:defRPr sz="800"/>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444160696129201"/>
          <c:y val="4.6551445220290859E-2"/>
          <c:w val="0.86097166371210676"/>
          <c:h val="0.84841017514320149"/>
        </c:manualLayout>
      </c:layout>
      <c:lineChart>
        <c:grouping val="standard"/>
        <c:varyColors val="0"/>
        <c:ser>
          <c:idx val="1"/>
          <c:order val="0"/>
          <c:tx>
            <c:v>美股</c:v>
          </c:tx>
          <c:marker>
            <c:symbol val="none"/>
          </c:marker>
          <c:cat>
            <c:numRef>
              <c:f>退市率!$A$2:$A$12</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退市率!$B$2:$B$12</c:f>
              <c:numCache>
                <c:formatCode>0.00%</c:formatCode>
                <c:ptCount val="11"/>
                <c:pt idx="0">
                  <c:v>6.2300000000000001E-2</c:v>
                </c:pt>
                <c:pt idx="1">
                  <c:v>5.7700000000000001E-2</c:v>
                </c:pt>
                <c:pt idx="2">
                  <c:v>8.1199999999999994E-2</c:v>
                </c:pt>
                <c:pt idx="3">
                  <c:v>8.6699999999999999E-2</c:v>
                </c:pt>
                <c:pt idx="4">
                  <c:v>8.0500000000000002E-2</c:v>
                </c:pt>
                <c:pt idx="5">
                  <c:v>7.0300000000000001E-2</c:v>
                </c:pt>
                <c:pt idx="6">
                  <c:v>6.4500000000000002E-2</c:v>
                </c:pt>
                <c:pt idx="7">
                  <c:v>5.4600000000000003E-2</c:v>
                </c:pt>
                <c:pt idx="8">
                  <c:v>6.3600000000000004E-2</c:v>
                </c:pt>
                <c:pt idx="9">
                  <c:v>6.4399999999999999E-2</c:v>
                </c:pt>
                <c:pt idx="10">
                  <c:v>8.3799999999999999E-2</c:v>
                </c:pt>
              </c:numCache>
            </c:numRef>
          </c:val>
          <c:smooth val="0"/>
          <c:extLst xmlns:c16r2="http://schemas.microsoft.com/office/drawing/2015/06/chart">
            <c:ext xmlns:c16="http://schemas.microsoft.com/office/drawing/2014/chart" uri="{C3380CC4-5D6E-409C-BE32-E72D297353CC}">
              <c16:uniqueId val="{00000000-4CAB-43E4-868B-BA83EF79B2EE}"/>
            </c:ext>
          </c:extLst>
        </c:ser>
        <c:ser>
          <c:idx val="2"/>
          <c:order val="1"/>
          <c:tx>
            <c:v>A股</c:v>
          </c:tx>
          <c:spPr>
            <a:ln>
              <a:prstDash val="sysDash"/>
            </a:ln>
          </c:spPr>
          <c:marker>
            <c:symbol val="none"/>
          </c:marker>
          <c:cat>
            <c:numRef>
              <c:f>退市率!$A$2:$A$12</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退市率!$C$2:$C$12</c:f>
              <c:numCache>
                <c:formatCode>0.00%</c:formatCode>
                <c:ptCount val="11"/>
                <c:pt idx="0">
                  <c:v>2.4311183144246355E-3</c:v>
                </c:pt>
                <c:pt idx="1">
                  <c:v>3.8580246913580245E-4</c:v>
                </c:pt>
                <c:pt idx="2">
                  <c:v>2.4928774928774928E-3</c:v>
                </c:pt>
                <c:pt idx="3">
                  <c:v>3.295978905735003E-4</c:v>
                </c:pt>
                <c:pt idx="4">
                  <c:v>1.442169022209403E-3</c:v>
                </c:pt>
                <c:pt idx="5">
                  <c:v>1.9624334174376226E-3</c:v>
                </c:pt>
                <c:pt idx="6">
                  <c:v>2.981029810298103E-3</c:v>
                </c:pt>
                <c:pt idx="7">
                  <c:v>4.0764331210191079E-3</c:v>
                </c:pt>
                <c:pt idx="8">
                  <c:v>4.7326076668244201E-3</c:v>
                </c:pt>
                <c:pt idx="9">
                  <c:v>1.0445049954586739E-2</c:v>
                </c:pt>
                <c:pt idx="10">
                  <c:v>9.9337748344370865E-3</c:v>
                </c:pt>
              </c:numCache>
            </c:numRef>
          </c:val>
          <c:smooth val="0"/>
          <c:extLst xmlns:c16r2="http://schemas.microsoft.com/office/drawing/2015/06/chart">
            <c:ext xmlns:c16="http://schemas.microsoft.com/office/drawing/2014/chart" uri="{C3380CC4-5D6E-409C-BE32-E72D297353CC}">
              <c16:uniqueId val="{00000001-4CAB-43E4-868B-BA83EF79B2EE}"/>
            </c:ext>
          </c:extLst>
        </c:ser>
        <c:dLbls>
          <c:showLegendKey val="0"/>
          <c:showVal val="0"/>
          <c:showCatName val="0"/>
          <c:showSerName val="0"/>
          <c:showPercent val="0"/>
          <c:showBubbleSize val="0"/>
        </c:dLbls>
        <c:smooth val="0"/>
        <c:axId val="554231336"/>
        <c:axId val="877119056"/>
      </c:lineChart>
      <c:catAx>
        <c:axId val="554231336"/>
        <c:scaling>
          <c:orientation val="minMax"/>
        </c:scaling>
        <c:delete val="0"/>
        <c:axPos val="b"/>
        <c:numFmt formatCode="General" sourceLinked="1"/>
        <c:majorTickMark val="out"/>
        <c:minorTickMark val="none"/>
        <c:tickLblPos val="nextTo"/>
        <c:crossAx val="877119056"/>
        <c:crosses val="autoZero"/>
        <c:auto val="1"/>
        <c:lblAlgn val="ctr"/>
        <c:lblOffset val="100"/>
        <c:noMultiLvlLbl val="0"/>
      </c:catAx>
      <c:valAx>
        <c:axId val="877119056"/>
        <c:scaling>
          <c:orientation val="minMax"/>
        </c:scaling>
        <c:delete val="0"/>
        <c:axPos val="l"/>
        <c:numFmt formatCode="0.00%" sourceLinked="1"/>
        <c:majorTickMark val="out"/>
        <c:minorTickMark val="none"/>
        <c:tickLblPos val="nextTo"/>
        <c:crossAx val="554231336"/>
        <c:crosses val="autoZero"/>
        <c:crossBetween val="between"/>
      </c:valAx>
    </c:plotArea>
    <c:legend>
      <c:legendPos val="r"/>
      <c:layout>
        <c:manualLayout>
          <c:xMode val="edge"/>
          <c:yMode val="edge"/>
          <c:x val="0.20420420420420418"/>
          <c:y val="5.1015038214562804E-2"/>
          <c:w val="0.54304304304304307"/>
          <c:h val="6.7781244325591364E-2"/>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266185476815395E-2"/>
          <c:y val="5.1400554097404488E-2"/>
          <c:w val="0.87948381452318447"/>
          <c:h val="0.80021216097987746"/>
        </c:manualLayout>
      </c:layout>
      <c:lineChart>
        <c:grouping val="standard"/>
        <c:varyColors val="0"/>
        <c:ser>
          <c:idx val="0"/>
          <c:order val="0"/>
          <c:tx>
            <c:strRef>
              <c:f>Sheet2!$B$1</c:f>
              <c:strCache>
                <c:ptCount val="1"/>
                <c:pt idx="0">
                  <c:v>沪深300</c:v>
                </c:pt>
              </c:strCache>
            </c:strRef>
          </c:tx>
          <c:spPr>
            <a:ln>
              <a:prstDash val="sysDash"/>
            </a:ln>
          </c:spPr>
          <c:marker>
            <c:symbol val="none"/>
          </c:marker>
          <c:cat>
            <c:numRef>
              <c:f>Sheet2!$A$2:$A$21</c:f>
              <c:numCache>
                <c:formatCode>yyyy</c:formatCode>
                <c:ptCount val="20"/>
                <c:pt idx="0">
                  <c:v>38717</c:v>
                </c:pt>
                <c:pt idx="1">
                  <c:v>39082</c:v>
                </c:pt>
                <c:pt idx="2">
                  <c:v>39447</c:v>
                </c:pt>
                <c:pt idx="3">
                  <c:v>39813</c:v>
                </c:pt>
                <c:pt idx="4">
                  <c:v>40178</c:v>
                </c:pt>
                <c:pt idx="5">
                  <c:v>40543</c:v>
                </c:pt>
                <c:pt idx="6">
                  <c:v>40908</c:v>
                </c:pt>
                <c:pt idx="7">
                  <c:v>41274</c:v>
                </c:pt>
                <c:pt idx="8">
                  <c:v>41639</c:v>
                </c:pt>
                <c:pt idx="9">
                  <c:v>42004</c:v>
                </c:pt>
                <c:pt idx="10">
                  <c:v>42369</c:v>
                </c:pt>
                <c:pt idx="11">
                  <c:v>42735</c:v>
                </c:pt>
                <c:pt idx="12">
                  <c:v>43100</c:v>
                </c:pt>
                <c:pt idx="13">
                  <c:v>43465</c:v>
                </c:pt>
                <c:pt idx="14">
                  <c:v>43830</c:v>
                </c:pt>
                <c:pt idx="15">
                  <c:v>44196</c:v>
                </c:pt>
                <c:pt idx="16">
                  <c:v>44561</c:v>
                </c:pt>
                <c:pt idx="17">
                  <c:v>44926</c:v>
                </c:pt>
                <c:pt idx="18">
                  <c:v>45291</c:v>
                </c:pt>
                <c:pt idx="19">
                  <c:v>45657</c:v>
                </c:pt>
              </c:numCache>
            </c:numRef>
          </c:cat>
          <c:val>
            <c:numRef>
              <c:f>Sheet2!$B$2:$B$21</c:f>
              <c:numCache>
                <c:formatCode>#,##0.00_ </c:formatCode>
                <c:ptCount val="20"/>
                <c:pt idx="0">
                  <c:v>14.056306343283582</c:v>
                </c:pt>
                <c:pt idx="1">
                  <c:v>19.408489589041096</c:v>
                </c:pt>
                <c:pt idx="2">
                  <c:v>40.113653972602741</c:v>
                </c:pt>
                <c:pt idx="3">
                  <c:v>23.42392049180328</c:v>
                </c:pt>
                <c:pt idx="4">
                  <c:v>23.621611506849316</c:v>
                </c:pt>
                <c:pt idx="5">
                  <c:v>18.741403835616438</c:v>
                </c:pt>
                <c:pt idx="6">
                  <c:v>13.355584931506849</c:v>
                </c:pt>
                <c:pt idx="7">
                  <c:v>10.628301639344262</c:v>
                </c:pt>
                <c:pt idx="8">
                  <c:v>9.9372545205479454</c:v>
                </c:pt>
                <c:pt idx="9">
                  <c:v>8.822590684931507</c:v>
                </c:pt>
                <c:pt idx="10">
                  <c:v>14.200939452054795</c:v>
                </c:pt>
                <c:pt idx="11">
                  <c:v>12.320381693989072</c:v>
                </c:pt>
                <c:pt idx="12">
                  <c:v>13.749878356164384</c:v>
                </c:pt>
                <c:pt idx="13">
                  <c:v>12.421058630136987</c:v>
                </c:pt>
                <c:pt idx="14">
                  <c:v>11.997254794520549</c:v>
                </c:pt>
                <c:pt idx="15">
                  <c:v>13.370210109289618</c:v>
                </c:pt>
                <c:pt idx="16">
                  <c:v>14.491938630136985</c:v>
                </c:pt>
                <c:pt idx="17">
                  <c:v>12.102027671232877</c:v>
                </c:pt>
                <c:pt idx="18">
                  <c:v>11.682663287671232</c:v>
                </c:pt>
                <c:pt idx="19">
                  <c:v>11.837679781420764</c:v>
                </c:pt>
              </c:numCache>
            </c:numRef>
          </c:val>
          <c:smooth val="0"/>
          <c:extLst xmlns:c16r2="http://schemas.microsoft.com/office/drawing/2015/06/chart">
            <c:ext xmlns:c16="http://schemas.microsoft.com/office/drawing/2014/chart" uri="{C3380CC4-5D6E-409C-BE32-E72D297353CC}">
              <c16:uniqueId val="{00000000-383A-4D03-B858-D5837709F489}"/>
            </c:ext>
          </c:extLst>
        </c:ser>
        <c:ser>
          <c:idx val="1"/>
          <c:order val="1"/>
          <c:tx>
            <c:strRef>
              <c:f>Sheet2!$C$1</c:f>
              <c:strCache>
                <c:ptCount val="1"/>
                <c:pt idx="0">
                  <c:v>标普500</c:v>
                </c:pt>
              </c:strCache>
            </c:strRef>
          </c:tx>
          <c:marker>
            <c:symbol val="none"/>
          </c:marker>
          <c:cat>
            <c:numRef>
              <c:f>Sheet2!$A$2:$A$21</c:f>
              <c:numCache>
                <c:formatCode>yyyy</c:formatCode>
                <c:ptCount val="20"/>
                <c:pt idx="0">
                  <c:v>38717</c:v>
                </c:pt>
                <c:pt idx="1">
                  <c:v>39082</c:v>
                </c:pt>
                <c:pt idx="2">
                  <c:v>39447</c:v>
                </c:pt>
                <c:pt idx="3">
                  <c:v>39813</c:v>
                </c:pt>
                <c:pt idx="4">
                  <c:v>40178</c:v>
                </c:pt>
                <c:pt idx="5">
                  <c:v>40543</c:v>
                </c:pt>
                <c:pt idx="6">
                  <c:v>40908</c:v>
                </c:pt>
                <c:pt idx="7">
                  <c:v>41274</c:v>
                </c:pt>
                <c:pt idx="8">
                  <c:v>41639</c:v>
                </c:pt>
                <c:pt idx="9">
                  <c:v>42004</c:v>
                </c:pt>
                <c:pt idx="10">
                  <c:v>42369</c:v>
                </c:pt>
                <c:pt idx="11">
                  <c:v>42735</c:v>
                </c:pt>
                <c:pt idx="12">
                  <c:v>43100</c:v>
                </c:pt>
                <c:pt idx="13">
                  <c:v>43465</c:v>
                </c:pt>
                <c:pt idx="14">
                  <c:v>43830</c:v>
                </c:pt>
                <c:pt idx="15">
                  <c:v>44196</c:v>
                </c:pt>
                <c:pt idx="16">
                  <c:v>44561</c:v>
                </c:pt>
                <c:pt idx="17">
                  <c:v>44926</c:v>
                </c:pt>
                <c:pt idx="18">
                  <c:v>45291</c:v>
                </c:pt>
                <c:pt idx="19">
                  <c:v>45657</c:v>
                </c:pt>
              </c:numCache>
            </c:numRef>
          </c:cat>
          <c:val>
            <c:numRef>
              <c:f>Sheet2!$C$2:$C$21</c:f>
              <c:numCache>
                <c:formatCode>General</c:formatCode>
                <c:ptCount val="20"/>
                <c:pt idx="0">
                  <c:v>18.07</c:v>
                </c:pt>
                <c:pt idx="1">
                  <c:v>17.38</c:v>
                </c:pt>
                <c:pt idx="2">
                  <c:v>22.35</c:v>
                </c:pt>
                <c:pt idx="3">
                  <c:v>58.98</c:v>
                </c:pt>
                <c:pt idx="4">
                  <c:v>21.78</c:v>
                </c:pt>
                <c:pt idx="5">
                  <c:v>16.05</c:v>
                </c:pt>
                <c:pt idx="6">
                  <c:v>14.3</c:v>
                </c:pt>
                <c:pt idx="7">
                  <c:v>16.440000000000001</c:v>
                </c:pt>
                <c:pt idx="8">
                  <c:v>18.04</c:v>
                </c:pt>
                <c:pt idx="9">
                  <c:v>20.079999999999998</c:v>
                </c:pt>
                <c:pt idx="10">
                  <c:v>23.74</c:v>
                </c:pt>
                <c:pt idx="11">
                  <c:v>23.76</c:v>
                </c:pt>
                <c:pt idx="12">
                  <c:v>24.25</c:v>
                </c:pt>
                <c:pt idx="13">
                  <c:v>19.39</c:v>
                </c:pt>
                <c:pt idx="14">
                  <c:v>22.78</c:v>
                </c:pt>
                <c:pt idx="15">
                  <c:v>39.26</c:v>
                </c:pt>
                <c:pt idx="16">
                  <c:v>23.63</c:v>
                </c:pt>
                <c:pt idx="17">
                  <c:v>22.65</c:v>
                </c:pt>
                <c:pt idx="18">
                  <c:v>24.35</c:v>
                </c:pt>
                <c:pt idx="19">
                  <c:v>30.96</c:v>
                </c:pt>
              </c:numCache>
            </c:numRef>
          </c:val>
          <c:smooth val="0"/>
          <c:extLst xmlns:c16r2="http://schemas.microsoft.com/office/drawing/2015/06/chart">
            <c:ext xmlns:c16="http://schemas.microsoft.com/office/drawing/2014/chart" uri="{C3380CC4-5D6E-409C-BE32-E72D297353CC}">
              <c16:uniqueId val="{00000001-383A-4D03-B858-D5837709F489}"/>
            </c:ext>
          </c:extLst>
        </c:ser>
        <c:dLbls>
          <c:showLegendKey val="0"/>
          <c:showVal val="0"/>
          <c:showCatName val="0"/>
          <c:showSerName val="0"/>
          <c:showPercent val="0"/>
          <c:showBubbleSize val="0"/>
        </c:dLbls>
        <c:smooth val="0"/>
        <c:axId val="428297024"/>
        <c:axId val="428300552"/>
      </c:lineChart>
      <c:dateAx>
        <c:axId val="428297024"/>
        <c:scaling>
          <c:orientation val="minMax"/>
        </c:scaling>
        <c:delete val="0"/>
        <c:axPos val="b"/>
        <c:numFmt formatCode="yyyy" sourceLinked="1"/>
        <c:majorTickMark val="out"/>
        <c:minorTickMark val="none"/>
        <c:tickLblPos val="nextTo"/>
        <c:crossAx val="428300552"/>
        <c:crosses val="autoZero"/>
        <c:auto val="1"/>
        <c:lblOffset val="100"/>
        <c:baseTimeUnit val="years"/>
      </c:dateAx>
      <c:valAx>
        <c:axId val="428300552"/>
        <c:scaling>
          <c:orientation val="minMax"/>
        </c:scaling>
        <c:delete val="0"/>
        <c:axPos val="l"/>
        <c:numFmt formatCode="#,##0_ " sourceLinked="0"/>
        <c:majorTickMark val="out"/>
        <c:minorTickMark val="none"/>
        <c:tickLblPos val="nextTo"/>
        <c:crossAx val="428297024"/>
        <c:crosses val="autoZero"/>
        <c:crossBetween val="between"/>
      </c:valAx>
    </c:plotArea>
    <c:legend>
      <c:legendPos val="r"/>
      <c:layout>
        <c:manualLayout>
          <c:xMode val="edge"/>
          <c:yMode val="edge"/>
          <c:x val="0.33552777777777781"/>
          <c:y val="5.9801326917468652E-2"/>
          <c:w val="0.3728055555555555"/>
          <c:h val="0.15417513143183387"/>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95552352038471E-2"/>
          <c:y val="3.7512331128909213E-2"/>
          <c:w val="0.91368523673179258"/>
          <c:h val="0.89076513415005831"/>
        </c:manualLayout>
      </c:layout>
      <c:lineChart>
        <c:grouping val="standard"/>
        <c:varyColors val="0"/>
        <c:ser>
          <c:idx val="0"/>
          <c:order val="0"/>
          <c:tx>
            <c:strRef>
              <c:f>'纽约泛欧证券交易所(美国)_上市公司家数_国内公司_年度_最后'!$B$2</c:f>
              <c:strCache>
                <c:ptCount val="1"/>
                <c:pt idx="0">
                  <c:v>纽交所国内公司数</c:v>
                </c:pt>
              </c:strCache>
            </c:strRef>
          </c:tx>
          <c:spPr>
            <a:ln>
              <a:prstDash val="dashDot"/>
            </a:ln>
          </c:spPr>
          <c:marker>
            <c:symbol val="none"/>
          </c:marker>
          <c:cat>
            <c:numRef>
              <c:f>'纽约泛欧证券交易所(美国)_上市公司家数_国内公司_年度_最后'!$A$16:$A$37</c:f>
              <c:numCache>
                <c:formatCode>yyyy</c:formatCode>
                <c:ptCount val="22"/>
                <c:pt idx="0">
                  <c:v>37986</c:v>
                </c:pt>
                <c:pt idx="1">
                  <c:v>38352</c:v>
                </c:pt>
                <c:pt idx="2">
                  <c:v>38717</c:v>
                </c:pt>
                <c:pt idx="3">
                  <c:v>39082</c:v>
                </c:pt>
                <c:pt idx="4">
                  <c:v>39447</c:v>
                </c:pt>
                <c:pt idx="5">
                  <c:v>39813</c:v>
                </c:pt>
                <c:pt idx="6">
                  <c:v>40178</c:v>
                </c:pt>
                <c:pt idx="7">
                  <c:v>40543</c:v>
                </c:pt>
                <c:pt idx="8">
                  <c:v>40908</c:v>
                </c:pt>
                <c:pt idx="9">
                  <c:v>41274</c:v>
                </c:pt>
                <c:pt idx="10">
                  <c:v>41639</c:v>
                </c:pt>
                <c:pt idx="11">
                  <c:v>42004</c:v>
                </c:pt>
                <c:pt idx="12">
                  <c:v>42369</c:v>
                </c:pt>
                <c:pt idx="13">
                  <c:v>42735</c:v>
                </c:pt>
                <c:pt idx="14">
                  <c:v>43100</c:v>
                </c:pt>
                <c:pt idx="15">
                  <c:v>43465</c:v>
                </c:pt>
                <c:pt idx="16">
                  <c:v>43830</c:v>
                </c:pt>
                <c:pt idx="17">
                  <c:v>44196</c:v>
                </c:pt>
                <c:pt idx="18">
                  <c:v>44561</c:v>
                </c:pt>
                <c:pt idx="19">
                  <c:v>44926</c:v>
                </c:pt>
                <c:pt idx="20">
                  <c:v>45291</c:v>
                </c:pt>
                <c:pt idx="21">
                  <c:v>45657</c:v>
                </c:pt>
              </c:numCache>
            </c:numRef>
          </c:cat>
          <c:val>
            <c:numRef>
              <c:f>'纽约泛欧证券交易所(美国)_上市公司家数_国内公司_年度_最后'!$B$16:$B$37</c:f>
              <c:numCache>
                <c:formatCode>#,##0.00_ </c:formatCode>
                <c:ptCount val="22"/>
                <c:pt idx="0">
                  <c:v>1842</c:v>
                </c:pt>
                <c:pt idx="1">
                  <c:v>1834</c:v>
                </c:pt>
                <c:pt idx="2">
                  <c:v>1818</c:v>
                </c:pt>
                <c:pt idx="3">
                  <c:v>1829</c:v>
                </c:pt>
                <c:pt idx="4">
                  <c:v>1852</c:v>
                </c:pt>
                <c:pt idx="5">
                  <c:v>1548</c:v>
                </c:pt>
                <c:pt idx="6">
                  <c:v>1832</c:v>
                </c:pt>
                <c:pt idx="7">
                  <c:v>1799</c:v>
                </c:pt>
                <c:pt idx="8">
                  <c:v>1788</c:v>
                </c:pt>
                <c:pt idx="9">
                  <c:v>1815</c:v>
                </c:pt>
                <c:pt idx="10">
                  <c:v>1852</c:v>
                </c:pt>
                <c:pt idx="11">
                  <c:v>1939</c:v>
                </c:pt>
                <c:pt idx="12">
                  <c:v>1910</c:v>
                </c:pt>
                <c:pt idx="13">
                  <c:v>1822</c:v>
                </c:pt>
                <c:pt idx="14">
                  <c:v>1791</c:v>
                </c:pt>
                <c:pt idx="15">
                  <c:v>1775</c:v>
                </c:pt>
                <c:pt idx="16">
                  <c:v>1582</c:v>
                </c:pt>
                <c:pt idx="17">
                  <c:v>1695</c:v>
                </c:pt>
                <c:pt idx="18">
                  <c:v>1893</c:v>
                </c:pt>
                <c:pt idx="19">
                  <c:v>1818</c:v>
                </c:pt>
                <c:pt idx="20">
                  <c:v>1709</c:v>
                </c:pt>
                <c:pt idx="21">
                  <c:v>1584</c:v>
                </c:pt>
              </c:numCache>
            </c:numRef>
          </c:val>
          <c:smooth val="0"/>
          <c:extLst xmlns:c16r2="http://schemas.microsoft.com/office/drawing/2015/06/chart">
            <c:ext xmlns:c16="http://schemas.microsoft.com/office/drawing/2014/chart" uri="{C3380CC4-5D6E-409C-BE32-E72D297353CC}">
              <c16:uniqueId val="{00000000-3766-4FA0-8515-D3848CE4A5B3}"/>
            </c:ext>
          </c:extLst>
        </c:ser>
        <c:ser>
          <c:idx val="1"/>
          <c:order val="1"/>
          <c:tx>
            <c:strRef>
              <c:f>'纽约泛欧证券交易所(美国)_上市公司家数_国内公司_年度_最后'!$C$2</c:f>
              <c:strCache>
                <c:ptCount val="1"/>
                <c:pt idx="0">
                  <c:v>纳斯达克国内公司数</c:v>
                </c:pt>
              </c:strCache>
            </c:strRef>
          </c:tx>
          <c:spPr>
            <a:ln>
              <a:prstDash val="sysDash"/>
            </a:ln>
          </c:spPr>
          <c:marker>
            <c:symbol val="none"/>
          </c:marker>
          <c:cat>
            <c:numRef>
              <c:f>'纽约泛欧证券交易所(美国)_上市公司家数_国内公司_年度_最后'!$A$16:$A$37</c:f>
              <c:numCache>
                <c:formatCode>yyyy</c:formatCode>
                <c:ptCount val="22"/>
                <c:pt idx="0">
                  <c:v>37986</c:v>
                </c:pt>
                <c:pt idx="1">
                  <c:v>38352</c:v>
                </c:pt>
                <c:pt idx="2">
                  <c:v>38717</c:v>
                </c:pt>
                <c:pt idx="3">
                  <c:v>39082</c:v>
                </c:pt>
                <c:pt idx="4">
                  <c:v>39447</c:v>
                </c:pt>
                <c:pt idx="5">
                  <c:v>39813</c:v>
                </c:pt>
                <c:pt idx="6">
                  <c:v>40178</c:v>
                </c:pt>
                <c:pt idx="7">
                  <c:v>40543</c:v>
                </c:pt>
                <c:pt idx="8">
                  <c:v>40908</c:v>
                </c:pt>
                <c:pt idx="9">
                  <c:v>41274</c:v>
                </c:pt>
                <c:pt idx="10">
                  <c:v>41639</c:v>
                </c:pt>
                <c:pt idx="11">
                  <c:v>42004</c:v>
                </c:pt>
                <c:pt idx="12">
                  <c:v>42369</c:v>
                </c:pt>
                <c:pt idx="13">
                  <c:v>42735</c:v>
                </c:pt>
                <c:pt idx="14">
                  <c:v>43100</c:v>
                </c:pt>
                <c:pt idx="15">
                  <c:v>43465</c:v>
                </c:pt>
                <c:pt idx="16">
                  <c:v>43830</c:v>
                </c:pt>
                <c:pt idx="17">
                  <c:v>44196</c:v>
                </c:pt>
                <c:pt idx="18">
                  <c:v>44561</c:v>
                </c:pt>
                <c:pt idx="19">
                  <c:v>44926</c:v>
                </c:pt>
                <c:pt idx="20">
                  <c:v>45291</c:v>
                </c:pt>
                <c:pt idx="21">
                  <c:v>45657</c:v>
                </c:pt>
              </c:numCache>
            </c:numRef>
          </c:cat>
          <c:val>
            <c:numRef>
              <c:f>'纽约泛欧证券交易所(美国)_上市公司家数_国内公司_年度_最后'!$C$16:$C$37</c:f>
              <c:numCache>
                <c:formatCode>#,##0.00_ </c:formatCode>
                <c:ptCount val="22"/>
                <c:pt idx="0">
                  <c:v>2951</c:v>
                </c:pt>
                <c:pt idx="1">
                  <c:v>2889</c:v>
                </c:pt>
                <c:pt idx="2">
                  <c:v>2832</c:v>
                </c:pt>
                <c:pt idx="3">
                  <c:v>2812</c:v>
                </c:pt>
                <c:pt idx="4">
                  <c:v>2762</c:v>
                </c:pt>
                <c:pt idx="5">
                  <c:v>2727</c:v>
                </c:pt>
                <c:pt idx="6">
                  <c:v>2569</c:v>
                </c:pt>
                <c:pt idx="7">
                  <c:v>2480</c:v>
                </c:pt>
                <c:pt idx="8">
                  <c:v>2383</c:v>
                </c:pt>
                <c:pt idx="9">
                  <c:v>2287</c:v>
                </c:pt>
                <c:pt idx="10">
                  <c:v>2328</c:v>
                </c:pt>
                <c:pt idx="11">
                  <c:v>2430</c:v>
                </c:pt>
                <c:pt idx="12">
                  <c:v>2471</c:v>
                </c:pt>
                <c:pt idx="13">
                  <c:v>2509</c:v>
                </c:pt>
                <c:pt idx="14">
                  <c:v>2189</c:v>
                </c:pt>
                <c:pt idx="15">
                  <c:v>2237</c:v>
                </c:pt>
                <c:pt idx="16">
                  <c:v>2268</c:v>
                </c:pt>
                <c:pt idx="17">
                  <c:v>2408</c:v>
                </c:pt>
                <c:pt idx="18">
                  <c:v>2880</c:v>
                </c:pt>
                <c:pt idx="19">
                  <c:v>2823</c:v>
                </c:pt>
                <c:pt idx="20">
                  <c:v>2606</c:v>
                </c:pt>
                <c:pt idx="21">
                  <c:v>2425</c:v>
                </c:pt>
              </c:numCache>
            </c:numRef>
          </c:val>
          <c:smooth val="0"/>
          <c:extLst xmlns:c16r2="http://schemas.microsoft.com/office/drawing/2015/06/chart">
            <c:ext xmlns:c16="http://schemas.microsoft.com/office/drawing/2014/chart" uri="{C3380CC4-5D6E-409C-BE32-E72D297353CC}">
              <c16:uniqueId val="{00000001-3766-4FA0-8515-D3848CE4A5B3}"/>
            </c:ext>
          </c:extLst>
        </c:ser>
        <c:ser>
          <c:idx val="2"/>
          <c:order val="2"/>
          <c:tx>
            <c:strRef>
              <c:f>'纽约泛欧证券交易所(美国)_上市公司家数_国内公司_年度_最后'!$D$2</c:f>
              <c:strCache>
                <c:ptCount val="1"/>
                <c:pt idx="0">
                  <c:v>纽交所外国公司数</c:v>
                </c:pt>
              </c:strCache>
            </c:strRef>
          </c:tx>
          <c:marker>
            <c:symbol val="none"/>
          </c:marker>
          <c:cat>
            <c:numRef>
              <c:f>'纽约泛欧证券交易所(美国)_上市公司家数_国内公司_年度_最后'!$A$16:$A$37</c:f>
              <c:numCache>
                <c:formatCode>yyyy</c:formatCode>
                <c:ptCount val="22"/>
                <c:pt idx="0">
                  <c:v>37986</c:v>
                </c:pt>
                <c:pt idx="1">
                  <c:v>38352</c:v>
                </c:pt>
                <c:pt idx="2">
                  <c:v>38717</c:v>
                </c:pt>
                <c:pt idx="3">
                  <c:v>39082</c:v>
                </c:pt>
                <c:pt idx="4">
                  <c:v>39447</c:v>
                </c:pt>
                <c:pt idx="5">
                  <c:v>39813</c:v>
                </c:pt>
                <c:pt idx="6">
                  <c:v>40178</c:v>
                </c:pt>
                <c:pt idx="7">
                  <c:v>40543</c:v>
                </c:pt>
                <c:pt idx="8">
                  <c:v>40908</c:v>
                </c:pt>
                <c:pt idx="9">
                  <c:v>41274</c:v>
                </c:pt>
                <c:pt idx="10">
                  <c:v>41639</c:v>
                </c:pt>
                <c:pt idx="11">
                  <c:v>42004</c:v>
                </c:pt>
                <c:pt idx="12">
                  <c:v>42369</c:v>
                </c:pt>
                <c:pt idx="13">
                  <c:v>42735</c:v>
                </c:pt>
                <c:pt idx="14">
                  <c:v>43100</c:v>
                </c:pt>
                <c:pt idx="15">
                  <c:v>43465</c:v>
                </c:pt>
                <c:pt idx="16">
                  <c:v>43830</c:v>
                </c:pt>
                <c:pt idx="17">
                  <c:v>44196</c:v>
                </c:pt>
                <c:pt idx="18">
                  <c:v>44561</c:v>
                </c:pt>
                <c:pt idx="19">
                  <c:v>44926</c:v>
                </c:pt>
                <c:pt idx="20">
                  <c:v>45291</c:v>
                </c:pt>
                <c:pt idx="21">
                  <c:v>45657</c:v>
                </c:pt>
              </c:numCache>
            </c:numRef>
          </c:cat>
          <c:val>
            <c:numRef>
              <c:f>'纽约泛欧证券交易所(美国)_上市公司家数_国内公司_年度_最后'!$D$16:$D$37</c:f>
              <c:numCache>
                <c:formatCode>#,##0.00_ </c:formatCode>
                <c:ptCount val="22"/>
                <c:pt idx="0">
                  <c:v>466</c:v>
                </c:pt>
                <c:pt idx="1">
                  <c:v>459</c:v>
                </c:pt>
                <c:pt idx="2">
                  <c:v>452</c:v>
                </c:pt>
                <c:pt idx="3">
                  <c:v>451</c:v>
                </c:pt>
                <c:pt idx="4">
                  <c:v>421</c:v>
                </c:pt>
                <c:pt idx="5">
                  <c:v>415</c:v>
                </c:pt>
                <c:pt idx="6">
                  <c:v>495</c:v>
                </c:pt>
                <c:pt idx="7">
                  <c:v>518</c:v>
                </c:pt>
                <c:pt idx="8">
                  <c:v>520</c:v>
                </c:pt>
                <c:pt idx="9">
                  <c:v>524</c:v>
                </c:pt>
                <c:pt idx="10">
                  <c:v>519</c:v>
                </c:pt>
                <c:pt idx="11">
                  <c:v>527</c:v>
                </c:pt>
                <c:pt idx="12">
                  <c:v>514</c:v>
                </c:pt>
                <c:pt idx="13">
                  <c:v>485</c:v>
                </c:pt>
                <c:pt idx="14">
                  <c:v>495</c:v>
                </c:pt>
                <c:pt idx="15">
                  <c:v>510</c:v>
                </c:pt>
                <c:pt idx="16">
                  <c:v>498</c:v>
                </c:pt>
                <c:pt idx="17">
                  <c:v>534</c:v>
                </c:pt>
                <c:pt idx="18">
                  <c:v>603</c:v>
                </c:pt>
                <c:pt idx="19">
                  <c:v>587</c:v>
                </c:pt>
                <c:pt idx="20">
                  <c:v>563</c:v>
                </c:pt>
                <c:pt idx="21">
                  <c:v>548</c:v>
                </c:pt>
              </c:numCache>
            </c:numRef>
          </c:val>
          <c:smooth val="0"/>
          <c:extLst xmlns:c16r2="http://schemas.microsoft.com/office/drawing/2015/06/chart">
            <c:ext xmlns:c16="http://schemas.microsoft.com/office/drawing/2014/chart" uri="{C3380CC4-5D6E-409C-BE32-E72D297353CC}">
              <c16:uniqueId val="{00000002-3766-4FA0-8515-D3848CE4A5B3}"/>
            </c:ext>
          </c:extLst>
        </c:ser>
        <c:ser>
          <c:idx val="3"/>
          <c:order val="3"/>
          <c:tx>
            <c:strRef>
              <c:f>'纽约泛欧证券交易所(美国)_上市公司家数_国内公司_年度_最后'!$E$2</c:f>
              <c:strCache>
                <c:ptCount val="1"/>
                <c:pt idx="0">
                  <c:v>纳斯达克外国公司数</c:v>
                </c:pt>
              </c:strCache>
            </c:strRef>
          </c:tx>
          <c:spPr>
            <a:ln w="31750">
              <a:prstDash val="sysDot"/>
            </a:ln>
          </c:spPr>
          <c:marker>
            <c:symbol val="none"/>
          </c:marker>
          <c:cat>
            <c:numRef>
              <c:f>'纽约泛欧证券交易所(美国)_上市公司家数_国内公司_年度_最后'!$A$16:$A$37</c:f>
              <c:numCache>
                <c:formatCode>yyyy</c:formatCode>
                <c:ptCount val="22"/>
                <c:pt idx="0">
                  <c:v>37986</c:v>
                </c:pt>
                <c:pt idx="1">
                  <c:v>38352</c:v>
                </c:pt>
                <c:pt idx="2">
                  <c:v>38717</c:v>
                </c:pt>
                <c:pt idx="3">
                  <c:v>39082</c:v>
                </c:pt>
                <c:pt idx="4">
                  <c:v>39447</c:v>
                </c:pt>
                <c:pt idx="5">
                  <c:v>39813</c:v>
                </c:pt>
                <c:pt idx="6">
                  <c:v>40178</c:v>
                </c:pt>
                <c:pt idx="7">
                  <c:v>40543</c:v>
                </c:pt>
                <c:pt idx="8">
                  <c:v>40908</c:v>
                </c:pt>
                <c:pt idx="9">
                  <c:v>41274</c:v>
                </c:pt>
                <c:pt idx="10">
                  <c:v>41639</c:v>
                </c:pt>
                <c:pt idx="11">
                  <c:v>42004</c:v>
                </c:pt>
                <c:pt idx="12">
                  <c:v>42369</c:v>
                </c:pt>
                <c:pt idx="13">
                  <c:v>42735</c:v>
                </c:pt>
                <c:pt idx="14">
                  <c:v>43100</c:v>
                </c:pt>
                <c:pt idx="15">
                  <c:v>43465</c:v>
                </c:pt>
                <c:pt idx="16">
                  <c:v>43830</c:v>
                </c:pt>
                <c:pt idx="17">
                  <c:v>44196</c:v>
                </c:pt>
                <c:pt idx="18">
                  <c:v>44561</c:v>
                </c:pt>
                <c:pt idx="19">
                  <c:v>44926</c:v>
                </c:pt>
                <c:pt idx="20">
                  <c:v>45291</c:v>
                </c:pt>
                <c:pt idx="21">
                  <c:v>45657</c:v>
                </c:pt>
              </c:numCache>
            </c:numRef>
          </c:cat>
          <c:val>
            <c:numRef>
              <c:f>'纽约泛欧证券交易所(美国)_上市公司家数_国内公司_年度_最后'!$E$16:$E$37</c:f>
              <c:numCache>
                <c:formatCode>#,##0.00_ </c:formatCode>
                <c:ptCount val="22"/>
                <c:pt idx="0">
                  <c:v>343</c:v>
                </c:pt>
                <c:pt idx="1">
                  <c:v>340</c:v>
                </c:pt>
                <c:pt idx="2">
                  <c:v>332</c:v>
                </c:pt>
                <c:pt idx="3">
                  <c:v>321</c:v>
                </c:pt>
                <c:pt idx="4">
                  <c:v>307</c:v>
                </c:pt>
                <c:pt idx="5">
                  <c:v>296</c:v>
                </c:pt>
                <c:pt idx="6">
                  <c:v>283</c:v>
                </c:pt>
                <c:pt idx="7">
                  <c:v>298</c:v>
                </c:pt>
                <c:pt idx="8">
                  <c:v>297</c:v>
                </c:pt>
                <c:pt idx="9">
                  <c:v>290</c:v>
                </c:pt>
                <c:pt idx="10">
                  <c:v>309</c:v>
                </c:pt>
                <c:pt idx="11">
                  <c:v>352</c:v>
                </c:pt>
                <c:pt idx="12">
                  <c:v>388</c:v>
                </c:pt>
                <c:pt idx="13">
                  <c:v>388</c:v>
                </c:pt>
                <c:pt idx="14">
                  <c:v>378</c:v>
                </c:pt>
                <c:pt idx="15">
                  <c:v>414</c:v>
                </c:pt>
                <c:pt idx="16">
                  <c:v>444</c:v>
                </c:pt>
                <c:pt idx="17">
                  <c:v>525</c:v>
                </c:pt>
                <c:pt idx="18">
                  <c:v>798</c:v>
                </c:pt>
                <c:pt idx="19">
                  <c:v>865</c:v>
                </c:pt>
                <c:pt idx="20">
                  <c:v>826</c:v>
                </c:pt>
                <c:pt idx="21">
                  <c:v>864</c:v>
                </c:pt>
              </c:numCache>
            </c:numRef>
          </c:val>
          <c:smooth val="0"/>
          <c:extLst xmlns:c16r2="http://schemas.microsoft.com/office/drawing/2015/06/chart">
            <c:ext xmlns:c16="http://schemas.microsoft.com/office/drawing/2014/chart" uri="{C3380CC4-5D6E-409C-BE32-E72D297353CC}">
              <c16:uniqueId val="{00000003-3766-4FA0-8515-D3848CE4A5B3}"/>
            </c:ext>
          </c:extLst>
        </c:ser>
        <c:dLbls>
          <c:showLegendKey val="0"/>
          <c:showVal val="0"/>
          <c:showCatName val="0"/>
          <c:showSerName val="0"/>
          <c:showPercent val="0"/>
          <c:showBubbleSize val="0"/>
        </c:dLbls>
        <c:smooth val="0"/>
        <c:axId val="428298592"/>
        <c:axId val="428297416"/>
      </c:lineChart>
      <c:dateAx>
        <c:axId val="428298592"/>
        <c:scaling>
          <c:orientation val="minMax"/>
        </c:scaling>
        <c:delete val="0"/>
        <c:axPos val="b"/>
        <c:numFmt formatCode="yyyy" sourceLinked="1"/>
        <c:majorTickMark val="out"/>
        <c:minorTickMark val="none"/>
        <c:tickLblPos val="nextTo"/>
        <c:crossAx val="428297416"/>
        <c:crosses val="autoZero"/>
        <c:auto val="1"/>
        <c:lblOffset val="100"/>
        <c:baseTimeUnit val="years"/>
      </c:dateAx>
      <c:valAx>
        <c:axId val="428297416"/>
        <c:scaling>
          <c:orientation val="minMax"/>
        </c:scaling>
        <c:delete val="0"/>
        <c:axPos val="l"/>
        <c:numFmt formatCode="0_ " sourceLinked="0"/>
        <c:majorTickMark val="out"/>
        <c:minorTickMark val="none"/>
        <c:tickLblPos val="nextTo"/>
        <c:crossAx val="428298592"/>
        <c:crosses val="autoZero"/>
        <c:crossBetween val="between"/>
      </c:valAx>
    </c:plotArea>
    <c:legend>
      <c:legendPos val="r"/>
      <c:layout>
        <c:manualLayout>
          <c:xMode val="edge"/>
          <c:yMode val="edge"/>
          <c:x val="0.2459509463292788"/>
          <c:y val="1.0726956396965184E-2"/>
          <c:w val="0.46666672202698484"/>
          <c:h val="0.21539703845132394"/>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658225637112392"/>
          <c:y val="5.0258327704599287E-2"/>
          <c:w val="0.87627139853364711"/>
          <c:h val="0.75451828432621826"/>
        </c:manualLayout>
      </c:layout>
      <c:lineChart>
        <c:grouping val="standard"/>
        <c:varyColors val="0"/>
        <c:ser>
          <c:idx val="0"/>
          <c:order val="0"/>
          <c:tx>
            <c:strRef>
              <c:f>Sheet1!$A$2</c:f>
              <c:strCache>
                <c:ptCount val="1"/>
                <c:pt idx="0">
                  <c:v>中国资产 </c:v>
                </c:pt>
              </c:strCache>
            </c:strRef>
          </c:tx>
          <c:spPr>
            <a:ln>
              <a:prstDash val="sysDot"/>
            </a:ln>
          </c:spPr>
          <c:marker>
            <c:symbol val="none"/>
          </c:marker>
          <c:cat>
            <c:strRef>
              <c:f>Sheet1!$B$1:$U$1</c:f>
              <c:strCache>
                <c:ptCount val="20"/>
                <c:pt idx="0">
                  <c:v>2004年</c:v>
                </c:pt>
                <c:pt idx="1">
                  <c:v>2005年</c:v>
                </c:pt>
                <c:pt idx="2">
                  <c:v>2006年</c:v>
                </c:pt>
                <c:pt idx="3">
                  <c:v>2007年</c:v>
                </c:pt>
                <c:pt idx="4">
                  <c:v>2008年</c:v>
                </c:pt>
                <c:pt idx="5">
                  <c:v>2009年</c:v>
                </c:pt>
                <c:pt idx="6">
                  <c:v>2010年</c:v>
                </c:pt>
                <c:pt idx="7">
                  <c:v>2011年</c:v>
                </c:pt>
                <c:pt idx="8">
                  <c:v>2012年</c:v>
                </c:pt>
                <c:pt idx="9">
                  <c:v>2013年</c:v>
                </c:pt>
                <c:pt idx="10">
                  <c:v>2014年</c:v>
                </c:pt>
                <c:pt idx="11">
                  <c:v>2015年</c:v>
                </c:pt>
                <c:pt idx="12">
                  <c:v>2016年</c:v>
                </c:pt>
                <c:pt idx="13">
                  <c:v>2017年</c:v>
                </c:pt>
                <c:pt idx="14">
                  <c:v>2018年</c:v>
                </c:pt>
                <c:pt idx="15">
                  <c:v>2019年</c:v>
                </c:pt>
                <c:pt idx="16">
                  <c:v>2020年</c:v>
                </c:pt>
                <c:pt idx="17">
                  <c:v>2021年</c:v>
                </c:pt>
                <c:pt idx="18">
                  <c:v>2022年</c:v>
                </c:pt>
                <c:pt idx="19">
                  <c:v>2023年</c:v>
                </c:pt>
              </c:strCache>
            </c:strRef>
          </c:cat>
          <c:val>
            <c:numRef>
              <c:f>Sheet1!$B$2:$U$2</c:f>
              <c:numCache>
                <c:formatCode>0_ </c:formatCode>
                <c:ptCount val="20"/>
                <c:pt idx="0">
                  <c:v>9361.9724093570694</c:v>
                </c:pt>
                <c:pt idx="1">
                  <c:v>12315.3027802379</c:v>
                </c:pt>
                <c:pt idx="2">
                  <c:v>17008.9698182988</c:v>
                </c:pt>
                <c:pt idx="3">
                  <c:v>24421.4301122424</c:v>
                </c:pt>
                <c:pt idx="4">
                  <c:v>29660.745570424599</c:v>
                </c:pt>
                <c:pt idx="5">
                  <c:v>34548.5651687672</c:v>
                </c:pt>
                <c:pt idx="6">
                  <c:v>41424.421521155899</c:v>
                </c:pt>
                <c:pt idx="7">
                  <c:v>47550.907150348197</c:v>
                </c:pt>
                <c:pt idx="8">
                  <c:v>52353.254053135199</c:v>
                </c:pt>
                <c:pt idx="9">
                  <c:v>60205.022936456502</c:v>
                </c:pt>
                <c:pt idx="10">
                  <c:v>64838.639278914998</c:v>
                </c:pt>
                <c:pt idx="11">
                  <c:v>62231.846295732299</c:v>
                </c:pt>
                <c:pt idx="12">
                  <c:v>65788.470124350904</c:v>
                </c:pt>
                <c:pt idx="13">
                  <c:v>71915.226244607999</c:v>
                </c:pt>
                <c:pt idx="14">
                  <c:v>74327.338053330706</c:v>
                </c:pt>
                <c:pt idx="15">
                  <c:v>78464.177904286596</c:v>
                </c:pt>
                <c:pt idx="16">
                  <c:v>88790.792905881899</c:v>
                </c:pt>
                <c:pt idx="17">
                  <c:v>95216.383221495402</c:v>
                </c:pt>
                <c:pt idx="18">
                  <c:v>92155.325686558295</c:v>
                </c:pt>
                <c:pt idx="19">
                  <c:v>95816.8333100077</c:v>
                </c:pt>
              </c:numCache>
            </c:numRef>
          </c:val>
          <c:smooth val="0"/>
          <c:extLst xmlns:c16r2="http://schemas.microsoft.com/office/drawing/2015/06/chart">
            <c:ext xmlns:c16="http://schemas.microsoft.com/office/drawing/2014/chart" uri="{C3380CC4-5D6E-409C-BE32-E72D297353CC}">
              <c16:uniqueId val="{00000000-51DF-439A-85FF-E05A73BE6D41}"/>
            </c:ext>
          </c:extLst>
        </c:ser>
        <c:ser>
          <c:idx val="1"/>
          <c:order val="1"/>
          <c:tx>
            <c:strRef>
              <c:f>Sheet1!$A$3</c:f>
              <c:strCache>
                <c:ptCount val="1"/>
                <c:pt idx="0">
                  <c:v>中国负债 </c:v>
                </c:pt>
              </c:strCache>
            </c:strRef>
          </c:tx>
          <c:spPr>
            <a:ln>
              <a:prstDash val="dashDot"/>
            </a:ln>
          </c:spPr>
          <c:marker>
            <c:symbol val="none"/>
          </c:marker>
          <c:cat>
            <c:strRef>
              <c:f>Sheet1!$B$1:$U$1</c:f>
              <c:strCache>
                <c:ptCount val="20"/>
                <c:pt idx="0">
                  <c:v>2004年</c:v>
                </c:pt>
                <c:pt idx="1">
                  <c:v>2005年</c:v>
                </c:pt>
                <c:pt idx="2">
                  <c:v>2006年</c:v>
                </c:pt>
                <c:pt idx="3">
                  <c:v>2007年</c:v>
                </c:pt>
                <c:pt idx="4">
                  <c:v>2008年</c:v>
                </c:pt>
                <c:pt idx="5">
                  <c:v>2009年</c:v>
                </c:pt>
                <c:pt idx="6">
                  <c:v>2010年</c:v>
                </c:pt>
                <c:pt idx="7">
                  <c:v>2011年</c:v>
                </c:pt>
                <c:pt idx="8">
                  <c:v>2012年</c:v>
                </c:pt>
                <c:pt idx="9">
                  <c:v>2013年</c:v>
                </c:pt>
                <c:pt idx="10">
                  <c:v>2014年</c:v>
                </c:pt>
                <c:pt idx="11">
                  <c:v>2015年</c:v>
                </c:pt>
                <c:pt idx="12">
                  <c:v>2016年</c:v>
                </c:pt>
                <c:pt idx="13">
                  <c:v>2017年</c:v>
                </c:pt>
                <c:pt idx="14">
                  <c:v>2018年</c:v>
                </c:pt>
                <c:pt idx="15">
                  <c:v>2019年</c:v>
                </c:pt>
                <c:pt idx="16">
                  <c:v>2020年</c:v>
                </c:pt>
                <c:pt idx="17">
                  <c:v>2021年</c:v>
                </c:pt>
                <c:pt idx="18">
                  <c:v>2022年</c:v>
                </c:pt>
                <c:pt idx="19">
                  <c:v>2023年</c:v>
                </c:pt>
              </c:strCache>
            </c:strRef>
          </c:cat>
          <c:val>
            <c:numRef>
              <c:f>Sheet1!$B$3:$U$3</c:f>
              <c:numCache>
                <c:formatCode>0_ </c:formatCode>
                <c:ptCount val="20"/>
                <c:pt idx="0">
                  <c:v>6954.1405542477996</c:v>
                </c:pt>
                <c:pt idx="1">
                  <c:v>8743.6451657155394</c:v>
                </c:pt>
                <c:pt idx="2">
                  <c:v>11822.372909100301</c:v>
                </c:pt>
                <c:pt idx="3">
                  <c:v>14897.675505139799</c:v>
                </c:pt>
                <c:pt idx="4">
                  <c:v>15735.127829118301</c:v>
                </c:pt>
                <c:pt idx="5">
                  <c:v>21505.015453440399</c:v>
                </c:pt>
                <c:pt idx="6">
                  <c:v>26583.055063073301</c:v>
                </c:pt>
                <c:pt idx="7">
                  <c:v>32203.007991865801</c:v>
                </c:pt>
                <c:pt idx="8">
                  <c:v>35572.505627153201</c:v>
                </c:pt>
                <c:pt idx="9">
                  <c:v>42021.372292894099</c:v>
                </c:pt>
                <c:pt idx="10">
                  <c:v>48735.545200450601</c:v>
                </c:pt>
                <c:pt idx="11">
                  <c:v>45243.1411051748</c:v>
                </c:pt>
                <c:pt idx="12">
                  <c:v>45939.571695912397</c:v>
                </c:pt>
                <c:pt idx="13">
                  <c:v>51262.9233343019</c:v>
                </c:pt>
                <c:pt idx="14">
                  <c:v>53252.313806405502</c:v>
                </c:pt>
                <c:pt idx="15">
                  <c:v>55468.301379719203</c:v>
                </c:pt>
                <c:pt idx="16">
                  <c:v>65922.822436880204</c:v>
                </c:pt>
                <c:pt idx="17">
                  <c:v>73355.793066750106</c:v>
                </c:pt>
                <c:pt idx="18">
                  <c:v>67938.985446160106</c:v>
                </c:pt>
                <c:pt idx="19">
                  <c:v>66734.7912897036</c:v>
                </c:pt>
              </c:numCache>
            </c:numRef>
          </c:val>
          <c:smooth val="0"/>
          <c:extLst xmlns:c16r2="http://schemas.microsoft.com/office/drawing/2015/06/chart">
            <c:ext xmlns:c16="http://schemas.microsoft.com/office/drawing/2014/chart" uri="{C3380CC4-5D6E-409C-BE32-E72D297353CC}">
              <c16:uniqueId val="{00000001-51DF-439A-85FF-E05A73BE6D41}"/>
            </c:ext>
          </c:extLst>
        </c:ser>
        <c:ser>
          <c:idx val="2"/>
          <c:order val="2"/>
          <c:tx>
            <c:strRef>
              <c:f>Sheet1!$A$4</c:f>
              <c:strCache>
                <c:ptCount val="1"/>
                <c:pt idx="0">
                  <c:v>美国资产</c:v>
                </c:pt>
              </c:strCache>
            </c:strRef>
          </c:tx>
          <c:spPr>
            <a:ln>
              <a:prstDash val="dash"/>
            </a:ln>
          </c:spPr>
          <c:marker>
            <c:symbol val="none"/>
          </c:marker>
          <c:cat>
            <c:strRef>
              <c:f>Sheet1!$B$1:$U$1</c:f>
              <c:strCache>
                <c:ptCount val="20"/>
                <c:pt idx="0">
                  <c:v>2004年</c:v>
                </c:pt>
                <c:pt idx="1">
                  <c:v>2005年</c:v>
                </c:pt>
                <c:pt idx="2">
                  <c:v>2006年</c:v>
                </c:pt>
                <c:pt idx="3">
                  <c:v>2007年</c:v>
                </c:pt>
                <c:pt idx="4">
                  <c:v>2008年</c:v>
                </c:pt>
                <c:pt idx="5">
                  <c:v>2009年</c:v>
                </c:pt>
                <c:pt idx="6">
                  <c:v>2010年</c:v>
                </c:pt>
                <c:pt idx="7">
                  <c:v>2011年</c:v>
                </c:pt>
                <c:pt idx="8">
                  <c:v>2012年</c:v>
                </c:pt>
                <c:pt idx="9">
                  <c:v>2013年</c:v>
                </c:pt>
                <c:pt idx="10">
                  <c:v>2014年</c:v>
                </c:pt>
                <c:pt idx="11">
                  <c:v>2015年</c:v>
                </c:pt>
                <c:pt idx="12">
                  <c:v>2016年</c:v>
                </c:pt>
                <c:pt idx="13">
                  <c:v>2017年</c:v>
                </c:pt>
                <c:pt idx="14">
                  <c:v>2018年</c:v>
                </c:pt>
                <c:pt idx="15">
                  <c:v>2019年</c:v>
                </c:pt>
                <c:pt idx="16">
                  <c:v>2020年</c:v>
                </c:pt>
                <c:pt idx="17">
                  <c:v>2021年</c:v>
                </c:pt>
                <c:pt idx="18">
                  <c:v>2022年</c:v>
                </c:pt>
                <c:pt idx="19">
                  <c:v>2023年</c:v>
                </c:pt>
              </c:strCache>
            </c:strRef>
          </c:cat>
          <c:val>
            <c:numRef>
              <c:f>Sheet1!$B$4:$U$4</c:f>
              <c:numCache>
                <c:formatCode>0_ </c:formatCode>
                <c:ptCount val="20"/>
                <c:pt idx="0">
                  <c:v>105896.28</c:v>
                </c:pt>
                <c:pt idx="1">
                  <c:v>133576.4</c:v>
                </c:pt>
                <c:pt idx="2">
                  <c:v>164105.12</c:v>
                </c:pt>
                <c:pt idx="3">
                  <c:v>207051.67</c:v>
                </c:pt>
                <c:pt idx="4">
                  <c:v>194240.93</c:v>
                </c:pt>
                <c:pt idx="5">
                  <c:v>194271.45</c:v>
                </c:pt>
                <c:pt idx="6">
                  <c:v>217685.46999999997</c:v>
                </c:pt>
                <c:pt idx="7">
                  <c:v>222096.41999999998</c:v>
                </c:pt>
                <c:pt idx="8">
                  <c:v>225106.46000000002</c:v>
                </c:pt>
                <c:pt idx="9">
                  <c:v>240698.33</c:v>
                </c:pt>
                <c:pt idx="10">
                  <c:v>248071.16999999998</c:v>
                </c:pt>
                <c:pt idx="11">
                  <c:v>233017.47</c:v>
                </c:pt>
                <c:pt idx="12">
                  <c:v>239023.71</c:v>
                </c:pt>
                <c:pt idx="13">
                  <c:v>275820.69</c:v>
                </c:pt>
                <c:pt idx="14">
                  <c:v>251067.57</c:v>
                </c:pt>
                <c:pt idx="15">
                  <c:v>288451.77</c:v>
                </c:pt>
                <c:pt idx="16">
                  <c:v>320231.56</c:v>
                </c:pt>
                <c:pt idx="17">
                  <c:v>349429.37</c:v>
                </c:pt>
                <c:pt idx="18">
                  <c:v>314402.86</c:v>
                </c:pt>
                <c:pt idx="19">
                  <c:v>343996.48</c:v>
                </c:pt>
              </c:numCache>
            </c:numRef>
          </c:val>
          <c:smooth val="0"/>
          <c:extLst xmlns:c16r2="http://schemas.microsoft.com/office/drawing/2015/06/chart">
            <c:ext xmlns:c16="http://schemas.microsoft.com/office/drawing/2014/chart" uri="{C3380CC4-5D6E-409C-BE32-E72D297353CC}">
              <c16:uniqueId val="{00000002-51DF-439A-85FF-E05A73BE6D41}"/>
            </c:ext>
          </c:extLst>
        </c:ser>
        <c:ser>
          <c:idx val="3"/>
          <c:order val="3"/>
          <c:tx>
            <c:strRef>
              <c:f>Sheet1!$A$5</c:f>
              <c:strCache>
                <c:ptCount val="1"/>
                <c:pt idx="0">
                  <c:v>美国负债</c:v>
                </c:pt>
              </c:strCache>
            </c:strRef>
          </c:tx>
          <c:marker>
            <c:symbol val="none"/>
          </c:marker>
          <c:cat>
            <c:strRef>
              <c:f>Sheet1!$B$1:$U$1</c:f>
              <c:strCache>
                <c:ptCount val="20"/>
                <c:pt idx="0">
                  <c:v>2004年</c:v>
                </c:pt>
                <c:pt idx="1">
                  <c:v>2005年</c:v>
                </c:pt>
                <c:pt idx="2">
                  <c:v>2006年</c:v>
                </c:pt>
                <c:pt idx="3">
                  <c:v>2007年</c:v>
                </c:pt>
                <c:pt idx="4">
                  <c:v>2008年</c:v>
                </c:pt>
                <c:pt idx="5">
                  <c:v>2009年</c:v>
                </c:pt>
                <c:pt idx="6">
                  <c:v>2010年</c:v>
                </c:pt>
                <c:pt idx="7">
                  <c:v>2011年</c:v>
                </c:pt>
                <c:pt idx="8">
                  <c:v>2012年</c:v>
                </c:pt>
                <c:pt idx="9">
                  <c:v>2013年</c:v>
                </c:pt>
                <c:pt idx="10">
                  <c:v>2014年</c:v>
                </c:pt>
                <c:pt idx="11">
                  <c:v>2015年</c:v>
                </c:pt>
                <c:pt idx="12">
                  <c:v>2016年</c:v>
                </c:pt>
                <c:pt idx="13">
                  <c:v>2017年</c:v>
                </c:pt>
                <c:pt idx="14">
                  <c:v>2018年</c:v>
                </c:pt>
                <c:pt idx="15">
                  <c:v>2019年</c:v>
                </c:pt>
                <c:pt idx="16">
                  <c:v>2020年</c:v>
                </c:pt>
                <c:pt idx="17">
                  <c:v>2021年</c:v>
                </c:pt>
                <c:pt idx="18">
                  <c:v>2022年</c:v>
                </c:pt>
                <c:pt idx="19">
                  <c:v>2023年</c:v>
                </c:pt>
              </c:strCache>
            </c:strRef>
          </c:cat>
          <c:val>
            <c:numRef>
              <c:f>Sheet1!$B$5:$U$5</c:f>
              <c:numCache>
                <c:formatCode>0_ </c:formatCode>
                <c:ptCount val="20"/>
                <c:pt idx="0">
                  <c:v>129523.95000000001</c:v>
                </c:pt>
                <c:pt idx="1">
                  <c:v>152148.66</c:v>
                </c:pt>
                <c:pt idx="2">
                  <c:v>182183.31</c:v>
                </c:pt>
                <c:pt idx="3">
                  <c:v>219839.96</c:v>
                </c:pt>
                <c:pt idx="4">
                  <c:v>234187.18</c:v>
                </c:pt>
                <c:pt idx="5">
                  <c:v>220540.84999999998</c:v>
                </c:pt>
                <c:pt idx="6">
                  <c:v>242796.19</c:v>
                </c:pt>
                <c:pt idx="7">
                  <c:v>266642.58</c:v>
                </c:pt>
                <c:pt idx="8">
                  <c:v>270801.74</c:v>
                </c:pt>
                <c:pt idx="9">
                  <c:v>295134.20999999996</c:v>
                </c:pt>
                <c:pt idx="10">
                  <c:v>318283.03999999998</c:v>
                </c:pt>
                <c:pt idx="11">
                  <c:v>308922.17</c:v>
                </c:pt>
                <c:pt idx="12">
                  <c:v>321607.57</c:v>
                </c:pt>
                <c:pt idx="13">
                  <c:v>354127.91</c:v>
                </c:pt>
                <c:pt idx="14">
                  <c:v>349025.78</c:v>
                </c:pt>
                <c:pt idx="15">
                  <c:v>405116.18000000005</c:v>
                </c:pt>
                <c:pt idx="16">
                  <c:v>467441.60000000003</c:v>
                </c:pt>
                <c:pt idx="17">
                  <c:v>537754.57999999996</c:v>
                </c:pt>
                <c:pt idx="18">
                  <c:v>477041.94000000006</c:v>
                </c:pt>
                <c:pt idx="19">
                  <c:v>542528.01</c:v>
                </c:pt>
              </c:numCache>
            </c:numRef>
          </c:val>
          <c:smooth val="0"/>
          <c:extLst xmlns:c16r2="http://schemas.microsoft.com/office/drawing/2015/06/chart">
            <c:ext xmlns:c16="http://schemas.microsoft.com/office/drawing/2014/chart" uri="{C3380CC4-5D6E-409C-BE32-E72D297353CC}">
              <c16:uniqueId val="{00000003-51DF-439A-85FF-E05A73BE6D41}"/>
            </c:ext>
          </c:extLst>
        </c:ser>
        <c:dLbls>
          <c:showLegendKey val="0"/>
          <c:showVal val="0"/>
          <c:showCatName val="0"/>
          <c:showSerName val="0"/>
          <c:showPercent val="0"/>
          <c:showBubbleSize val="0"/>
        </c:dLbls>
        <c:smooth val="0"/>
        <c:axId val="428293104"/>
        <c:axId val="428293496"/>
      </c:lineChart>
      <c:catAx>
        <c:axId val="428293104"/>
        <c:scaling>
          <c:orientation val="minMax"/>
        </c:scaling>
        <c:delete val="0"/>
        <c:axPos val="b"/>
        <c:numFmt formatCode="General" sourceLinked="0"/>
        <c:majorTickMark val="out"/>
        <c:minorTickMark val="none"/>
        <c:tickLblPos val="nextTo"/>
        <c:crossAx val="428293496"/>
        <c:crosses val="autoZero"/>
        <c:auto val="1"/>
        <c:lblAlgn val="ctr"/>
        <c:lblOffset val="100"/>
        <c:noMultiLvlLbl val="0"/>
      </c:catAx>
      <c:valAx>
        <c:axId val="428293496"/>
        <c:scaling>
          <c:orientation val="minMax"/>
        </c:scaling>
        <c:delete val="0"/>
        <c:axPos val="l"/>
        <c:numFmt formatCode="0_ " sourceLinked="1"/>
        <c:majorTickMark val="out"/>
        <c:minorTickMark val="none"/>
        <c:tickLblPos val="nextTo"/>
        <c:crossAx val="428293104"/>
        <c:crosses val="autoZero"/>
        <c:crossBetween val="between"/>
      </c:valAx>
    </c:plotArea>
    <c:legend>
      <c:legendPos val="r"/>
      <c:layout>
        <c:manualLayout>
          <c:xMode val="edge"/>
          <c:yMode val="edge"/>
          <c:x val="0.20957129937375699"/>
          <c:y val="2.435175589482793E-2"/>
          <c:w val="0.40972099919778759"/>
          <c:h val="0.32714452077479461"/>
        </c:manualLayout>
      </c:layout>
      <c:overlay val="0"/>
    </c:legend>
    <c:plotVisOnly val="1"/>
    <c:dispBlanksAs val="gap"/>
    <c:showDLblsOverMax val="0"/>
  </c:chart>
  <c:txPr>
    <a:bodyPr/>
    <a:lstStyle/>
    <a:p>
      <a:pPr>
        <a:defRPr sz="800"/>
      </a:pPr>
      <a:endParaRPr lang="zh-CN"/>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793188502039638E-2"/>
          <c:y val="7.7839310021657934E-2"/>
          <c:w val="0.90371577649179391"/>
          <c:h val="0.77433954546279227"/>
        </c:manualLayout>
      </c:layout>
      <c:lineChart>
        <c:grouping val="standard"/>
        <c:varyColors val="0"/>
        <c:ser>
          <c:idx val="1"/>
          <c:order val="1"/>
          <c:tx>
            <c:strRef>
              <c:f>中国和美国的BOP投资收益!$A$10</c:f>
              <c:strCache>
                <c:ptCount val="1"/>
                <c:pt idx="0">
                  <c:v>中国</c:v>
                </c:pt>
              </c:strCache>
            </c:strRef>
          </c:tx>
          <c:spPr>
            <a:ln w="28575" cap="rnd">
              <a:solidFill>
                <a:schemeClr val="tx1">
                  <a:lumMod val="65000"/>
                  <a:lumOff val="35000"/>
                </a:schemeClr>
              </a:solidFill>
              <a:prstDash val="dash"/>
              <a:round/>
            </a:ln>
            <a:effectLst/>
          </c:spPr>
          <c:marker>
            <c:symbol val="none"/>
          </c:marker>
          <c:cat>
            <c:numRef>
              <c:f>中国和美国的BOP投资收益!$B$9:$Y$9</c:f>
              <c:numCache>
                <c:formatCode>0_ </c:formatCode>
                <c:ptCount val="2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numCache>
            </c:numRef>
          </c:cat>
          <c:val>
            <c:numRef>
              <c:f>中国和美国的BOP投资收益!$B$10:$Y$10</c:f>
              <c:numCache>
                <c:formatCode>0.00_ </c:formatCode>
                <c:ptCount val="24"/>
                <c:pt idx="0">
                  <c:v>-1.418805119655</c:v>
                </c:pt>
                <c:pt idx="1">
                  <c:v>-1.8619113668424701</c:v>
                </c:pt>
                <c:pt idx="2">
                  <c:v>-1.4668573169419801</c:v>
                </c:pt>
                <c:pt idx="3">
                  <c:v>-1.0380850044718901</c:v>
                </c:pt>
                <c:pt idx="4">
                  <c:v>-0.57638016346535703</c:v>
                </c:pt>
                <c:pt idx="5">
                  <c:v>-1.7633451242153502</c:v>
                </c:pt>
                <c:pt idx="6">
                  <c:v>-0.71328847321016497</c:v>
                </c:pt>
                <c:pt idx="7">
                  <c:v>0.37042905999718301</c:v>
                </c:pt>
                <c:pt idx="8">
                  <c:v>2.2179874386614302</c:v>
                </c:pt>
                <c:pt idx="9">
                  <c:v>-1.56904139193301</c:v>
                </c:pt>
                <c:pt idx="10">
                  <c:v>-3.8079924652649204</c:v>
                </c:pt>
                <c:pt idx="11">
                  <c:v>-8.5267791228607503</c:v>
                </c:pt>
                <c:pt idx="12">
                  <c:v>-3.5164396114692198</c:v>
                </c:pt>
                <c:pt idx="13">
                  <c:v>-9.4518031639773596</c:v>
                </c:pt>
                <c:pt idx="14">
                  <c:v>-1.2453984231845299</c:v>
                </c:pt>
                <c:pt idx="15">
                  <c:v>-8.0254030660658895</c:v>
                </c:pt>
                <c:pt idx="16">
                  <c:v>-7.58977406628905</c:v>
                </c:pt>
                <c:pt idx="17">
                  <c:v>-3.1852779353058498</c:v>
                </c:pt>
                <c:pt idx="18">
                  <c:v>-7.1320122804401498</c:v>
                </c:pt>
                <c:pt idx="19">
                  <c:v>-4.3355557831844997</c:v>
                </c:pt>
                <c:pt idx="20">
                  <c:v>-12.040311265535999</c:v>
                </c:pt>
                <c:pt idx="21">
                  <c:v>-12.581763678965999</c:v>
                </c:pt>
                <c:pt idx="22">
                  <c:v>-16.012823644110998</c:v>
                </c:pt>
                <c:pt idx="23">
                  <c:v>-15.895892320799</c:v>
                </c:pt>
              </c:numCache>
            </c:numRef>
          </c:val>
          <c:smooth val="0"/>
          <c:extLst xmlns:c16r2="http://schemas.microsoft.com/office/drawing/2015/06/chart">
            <c:ext xmlns:c16="http://schemas.microsoft.com/office/drawing/2014/chart" uri="{C3380CC4-5D6E-409C-BE32-E72D297353CC}">
              <c16:uniqueId val="{00000000-97FB-A642-A9E0-0791AAC2608E}"/>
            </c:ext>
          </c:extLst>
        </c:ser>
        <c:ser>
          <c:idx val="2"/>
          <c:order val="2"/>
          <c:tx>
            <c:strRef>
              <c:f>中国和美国的BOP投资收益!$A$11</c:f>
              <c:strCache>
                <c:ptCount val="1"/>
                <c:pt idx="0">
                  <c:v>美国</c:v>
                </c:pt>
              </c:strCache>
            </c:strRef>
          </c:tx>
          <c:spPr>
            <a:ln w="28575" cap="rnd">
              <a:solidFill>
                <a:schemeClr val="accent3"/>
              </a:solidFill>
              <a:round/>
            </a:ln>
            <a:effectLst/>
          </c:spPr>
          <c:marker>
            <c:symbol val="none"/>
          </c:marker>
          <c:cat>
            <c:numRef>
              <c:f>中国和美国的BOP投资收益!$B$9:$Y$9</c:f>
              <c:numCache>
                <c:formatCode>0_ </c:formatCode>
                <c:ptCount val="2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numCache>
            </c:numRef>
          </c:cat>
          <c:val>
            <c:numRef>
              <c:f>中国和美国的BOP投资收益!$B$11:$Y$11</c:f>
              <c:numCache>
                <c:formatCode>0.00_ </c:formatCode>
                <c:ptCount val="24"/>
                <c:pt idx="0">
                  <c:v>36.1218</c:v>
                </c:pt>
                <c:pt idx="1">
                  <c:v>30.685000000000002</c:v>
                </c:pt>
                <c:pt idx="2">
                  <c:v>30.182200000000002</c:v>
                </c:pt>
                <c:pt idx="3">
                  <c:v>34.225900000000003</c:v>
                </c:pt>
                <c:pt idx="4">
                  <c:v>42.810500000000005</c:v>
                </c:pt>
                <c:pt idx="5">
                  <c:v>53.149699999999996</c:v>
                </c:pt>
                <c:pt idx="6">
                  <c:v>66.485100000000003</c:v>
                </c:pt>
                <c:pt idx="7">
                  <c:v>81.171900000000008</c:v>
                </c:pt>
                <c:pt idx="8">
                  <c:v>81.488</c:v>
                </c:pt>
                <c:pt idx="9">
                  <c:v>64.748199999999997</c:v>
                </c:pt>
                <c:pt idx="10">
                  <c:v>71.729200000000006</c:v>
                </c:pt>
                <c:pt idx="11">
                  <c:v>78.536500000000004</c:v>
                </c:pt>
                <c:pt idx="12">
                  <c:v>78.530999999999992</c:v>
                </c:pt>
                <c:pt idx="13">
                  <c:v>80.488799999999998</c:v>
                </c:pt>
                <c:pt idx="14">
                  <c:v>83.935500000000005</c:v>
                </c:pt>
                <c:pt idx="15">
                  <c:v>81.835099999999997</c:v>
                </c:pt>
                <c:pt idx="16">
                  <c:v>85.091099999999997</c:v>
                </c:pt>
                <c:pt idx="17">
                  <c:v>98.909500000000008</c:v>
                </c:pt>
                <c:pt idx="18">
                  <c:v>109.60229999999999</c:v>
                </c:pt>
                <c:pt idx="19">
                  <c:v>113.226</c:v>
                </c:pt>
                <c:pt idx="20">
                  <c:v>94.717799999999997</c:v>
                </c:pt>
                <c:pt idx="21">
                  <c:v>104.14749999999999</c:v>
                </c:pt>
                <c:pt idx="22">
                  <c:v>117.7017</c:v>
                </c:pt>
                <c:pt idx="23">
                  <c:v>136.89849999999998</c:v>
                </c:pt>
              </c:numCache>
            </c:numRef>
          </c:val>
          <c:smooth val="0"/>
          <c:extLst xmlns:c16r2="http://schemas.microsoft.com/office/drawing/2015/06/chart">
            <c:ext xmlns:c16="http://schemas.microsoft.com/office/drawing/2014/chart" uri="{C3380CC4-5D6E-409C-BE32-E72D297353CC}">
              <c16:uniqueId val="{00000001-97FB-A642-A9E0-0791AAC2608E}"/>
            </c:ext>
          </c:extLst>
        </c:ser>
        <c:dLbls>
          <c:showLegendKey val="0"/>
          <c:showVal val="0"/>
          <c:showCatName val="0"/>
          <c:showSerName val="0"/>
          <c:showPercent val="0"/>
          <c:showBubbleSize val="0"/>
        </c:dLbls>
        <c:smooth val="0"/>
        <c:axId val="428294280"/>
        <c:axId val="428295456"/>
        <c:extLst xmlns:c16r2="http://schemas.microsoft.com/office/drawing/2015/06/chart">
          <c:ext xmlns:c15="http://schemas.microsoft.com/office/drawing/2012/chart" uri="{02D57815-91ED-43cb-92C2-25804820EDAC}">
            <c15:filteredLineSeries>
              <c15:ser>
                <c:idx val="0"/>
                <c:order val="0"/>
                <c:tx>
                  <c:strRef>
                    <c:extLst xmlns:c16r2="http://schemas.microsoft.com/office/drawing/2015/06/chart">
                      <c:ext uri="{02D57815-91ED-43cb-92C2-25804820EDAC}">
                        <c15:formulaRef>
                          <c15:sqref>中国和美国的BOP投资收益!$A$9</c15:sqref>
                        </c15:formulaRef>
                      </c:ext>
                    </c:extLst>
                    <c:strCache>
                      <c:ptCount val="1"/>
                      <c:pt idx="0">
                        <c:v> 项目 </c:v>
                      </c:pt>
                    </c:strCache>
                  </c:strRef>
                </c:tx>
                <c:spPr>
                  <a:ln w="28575" cap="rnd">
                    <a:solidFill>
                      <a:schemeClr val="accent1"/>
                    </a:solidFill>
                    <a:round/>
                  </a:ln>
                  <a:effectLst/>
                </c:spPr>
                <c:marker>
                  <c:symbol val="none"/>
                </c:marker>
                <c:cat>
                  <c:numRef>
                    <c:extLst xmlns:c16r2="http://schemas.microsoft.com/office/drawing/2015/06/chart">
                      <c:ext uri="{02D57815-91ED-43cb-92C2-25804820EDAC}">
                        <c15:formulaRef>
                          <c15:sqref>中国和美国的BOP投资收益!$B$9:$Y$9</c15:sqref>
                        </c15:formulaRef>
                      </c:ext>
                    </c:extLst>
                    <c:numCache>
                      <c:formatCode>0_ </c:formatCode>
                      <c:ptCount val="2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numCache>
                  </c:numRef>
                </c:cat>
                <c:val>
                  <c:numRef>
                    <c:extLst xmlns:c16r2="http://schemas.microsoft.com/office/drawing/2015/06/chart">
                      <c:ext uri="{02D57815-91ED-43cb-92C2-25804820EDAC}">
                        <c15:formulaRef>
                          <c15:sqref>中国和美国的BOP投资收益!$B$9:$Y$9</c15:sqref>
                        </c15:formulaRef>
                      </c:ext>
                    </c:extLst>
                    <c:numCache>
                      <c:formatCode>0_ </c:formatCode>
                      <c:ptCount val="2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numCache>
                  </c:numRef>
                </c:val>
                <c:smooth val="0"/>
                <c:extLst xmlns:c16r2="http://schemas.microsoft.com/office/drawing/2015/06/chart">
                  <c:ext xmlns:c16="http://schemas.microsoft.com/office/drawing/2014/chart" uri="{C3380CC4-5D6E-409C-BE32-E72D297353CC}">
                    <c16:uniqueId val="{00000002-97FB-A642-A9E0-0791AAC2608E}"/>
                  </c:ext>
                </c:extLst>
              </c15:ser>
            </c15:filteredLineSeries>
          </c:ext>
        </c:extLst>
      </c:lineChart>
      <c:dateAx>
        <c:axId val="428294280"/>
        <c:scaling>
          <c:orientation val="minMax"/>
        </c:scaling>
        <c:delete val="0"/>
        <c:axPos val="b"/>
        <c:numFmt formatCode="0_ " sourceLinked="1"/>
        <c:majorTickMark val="none"/>
        <c:minorTickMark val="none"/>
        <c:tickLblPos val="low"/>
        <c:spPr>
          <a:noFill/>
          <a:ln w="9525" cap="flat" cmpd="sng" algn="ctr">
            <a:solidFill>
              <a:schemeClr val="tx1">
                <a:lumMod val="15000"/>
                <a:lumOff val="85000"/>
              </a:schemeClr>
            </a:solidFill>
            <a:round/>
          </a:ln>
          <a:effectLst/>
        </c:spPr>
        <c:txPr>
          <a:bodyPr rot="-60000000" vert="horz"/>
          <a:lstStyle/>
          <a:p>
            <a:pPr>
              <a:defRPr/>
            </a:pPr>
            <a:endParaRPr lang="zh-CN"/>
          </a:p>
        </c:txPr>
        <c:crossAx val="428295456"/>
        <c:crosses val="autoZero"/>
        <c:auto val="0"/>
        <c:lblOffset val="100"/>
        <c:baseTimeUnit val="days"/>
      </c:dateAx>
      <c:valAx>
        <c:axId val="428295456"/>
        <c:scaling>
          <c:orientation val="minMax"/>
        </c:scaling>
        <c:delete val="0"/>
        <c:axPos val="l"/>
        <c:title>
          <c:tx>
            <c:rich>
              <a:bodyPr rot="-5400000" vert="horz"/>
              <a:lstStyle/>
              <a:p>
                <a:pPr>
                  <a:defRPr/>
                </a:pPr>
                <a:r>
                  <a:rPr lang="zh-CN"/>
                  <a:t>（百亿美元）</a:t>
                </a:r>
              </a:p>
            </c:rich>
          </c:tx>
          <c:layout>
            <c:manualLayout>
              <c:xMode val="edge"/>
              <c:yMode val="edge"/>
              <c:x val="6.2649663348182436E-2"/>
              <c:y val="2.3995644161501069E-2"/>
            </c:manualLayout>
          </c:layout>
          <c:overlay val="0"/>
          <c:spPr>
            <a:noFill/>
            <a:ln>
              <a:noFill/>
            </a:ln>
            <a:effectLst/>
          </c:spPr>
        </c:title>
        <c:numFmt formatCode="0_ " sourceLinked="0"/>
        <c:majorTickMark val="none"/>
        <c:minorTickMark val="none"/>
        <c:tickLblPos val="nextTo"/>
        <c:spPr>
          <a:noFill/>
          <a:ln>
            <a:noFill/>
          </a:ln>
          <a:effectLst/>
        </c:spPr>
        <c:txPr>
          <a:bodyPr rot="-60000000" vert="horz"/>
          <a:lstStyle/>
          <a:p>
            <a:pPr>
              <a:defRPr/>
            </a:pPr>
            <a:endParaRPr lang="zh-CN"/>
          </a:p>
        </c:txPr>
        <c:crossAx val="428294280"/>
        <c:crosses val="autoZero"/>
        <c:crossBetween val="between"/>
      </c:valAx>
      <c:spPr>
        <a:noFill/>
        <a:ln>
          <a:noFill/>
        </a:ln>
        <a:effectLst/>
      </c:spPr>
    </c:plotArea>
    <c:legend>
      <c:legendPos val="b"/>
      <c:layout>
        <c:manualLayout>
          <c:xMode val="edge"/>
          <c:yMode val="edge"/>
          <c:x val="0.38337349397590359"/>
          <c:y val="0.10017646730328925"/>
          <c:w val="0.28626506024096388"/>
          <c:h val="0.11968168872507957"/>
        </c:manualLayout>
      </c:layout>
      <c:overlay val="0"/>
      <c:spPr>
        <a:noFill/>
        <a:ln>
          <a:noFill/>
        </a:ln>
        <a:effectLst/>
      </c:spPr>
      <c:txPr>
        <a:bodyPr rot="0" vert="horz"/>
        <a:lstStyle/>
        <a:p>
          <a:pPr>
            <a:defRPr/>
          </a:pPr>
          <a:endParaRPr lang="zh-CN"/>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600"/>
      </a:pPr>
      <a:endParaRPr lang="zh-CN"/>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15507436570428"/>
          <c:y val="5.1400554097404488E-2"/>
          <c:w val="0.88040048118985126"/>
          <c:h val="0.79523549139690874"/>
        </c:manualLayout>
      </c:layout>
      <c:lineChart>
        <c:grouping val="standard"/>
        <c:varyColors val="0"/>
        <c:ser>
          <c:idx val="0"/>
          <c:order val="0"/>
          <c:tx>
            <c:strRef>
              <c:f>Sheet1!$A$2</c:f>
              <c:strCache>
                <c:ptCount val="1"/>
                <c:pt idx="0">
                  <c:v>中国大陆对美国FDI</c:v>
                </c:pt>
              </c:strCache>
            </c:strRef>
          </c:tx>
          <c:marker>
            <c:symbol val="none"/>
          </c:marker>
          <c:cat>
            <c:strRef>
              <c:f>Sheet1!$B$1:$Y$1</c:f>
              <c:strCache>
                <c:ptCount val="2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strCache>
            </c:strRef>
          </c:cat>
          <c:val>
            <c:numRef>
              <c:f>Sheet1!$B$2:$Y$2</c:f>
              <c:numCache>
                <c:formatCode>General</c:formatCode>
                <c:ptCount val="24"/>
                <c:pt idx="0">
                  <c:v>2.77</c:v>
                </c:pt>
                <c:pt idx="1">
                  <c:v>5.35</c:v>
                </c:pt>
                <c:pt idx="2">
                  <c:v>3.85</c:v>
                </c:pt>
                <c:pt idx="3">
                  <c:v>2.84</c:v>
                </c:pt>
                <c:pt idx="4">
                  <c:v>4.3499999999999996</c:v>
                </c:pt>
                <c:pt idx="5">
                  <c:v>5.74</c:v>
                </c:pt>
                <c:pt idx="6">
                  <c:v>7.85</c:v>
                </c:pt>
                <c:pt idx="7">
                  <c:v>5.84</c:v>
                </c:pt>
                <c:pt idx="8">
                  <c:v>11.05</c:v>
                </c:pt>
                <c:pt idx="9">
                  <c:v>16.239999999999998</c:v>
                </c:pt>
                <c:pt idx="10">
                  <c:v>33</c:v>
                </c:pt>
                <c:pt idx="11">
                  <c:v>35.979999999999997</c:v>
                </c:pt>
                <c:pt idx="12">
                  <c:v>70.760000000000005</c:v>
                </c:pt>
                <c:pt idx="13">
                  <c:v>78.55</c:v>
                </c:pt>
                <c:pt idx="14">
                  <c:v>100.71</c:v>
                </c:pt>
                <c:pt idx="15">
                  <c:v>147.13999999999999</c:v>
                </c:pt>
                <c:pt idx="16">
                  <c:v>318.70999999999998</c:v>
                </c:pt>
                <c:pt idx="17">
                  <c:v>364.47</c:v>
                </c:pt>
                <c:pt idx="18">
                  <c:v>354.37</c:v>
                </c:pt>
                <c:pt idx="19">
                  <c:v>387.92</c:v>
                </c:pt>
                <c:pt idx="20">
                  <c:v>367.38</c:v>
                </c:pt>
                <c:pt idx="21">
                  <c:v>318.31</c:v>
                </c:pt>
                <c:pt idx="22">
                  <c:v>299.07</c:v>
                </c:pt>
                <c:pt idx="23">
                  <c:v>280.43</c:v>
                </c:pt>
              </c:numCache>
            </c:numRef>
          </c:val>
          <c:smooth val="0"/>
          <c:extLst xmlns:c16r2="http://schemas.microsoft.com/office/drawing/2015/06/chart">
            <c:ext xmlns:c16="http://schemas.microsoft.com/office/drawing/2014/chart" uri="{C3380CC4-5D6E-409C-BE32-E72D297353CC}">
              <c16:uniqueId val="{00000000-8AB7-49EE-A365-FF3AB459336E}"/>
            </c:ext>
          </c:extLst>
        </c:ser>
        <c:ser>
          <c:idx val="1"/>
          <c:order val="1"/>
          <c:tx>
            <c:strRef>
              <c:f>Sheet1!$A$3</c:f>
              <c:strCache>
                <c:ptCount val="1"/>
                <c:pt idx="0">
                  <c:v>香港地区对美国FDI</c:v>
                </c:pt>
              </c:strCache>
            </c:strRef>
          </c:tx>
          <c:marker>
            <c:symbol val="none"/>
          </c:marker>
          <c:cat>
            <c:strRef>
              <c:f>Sheet1!$B$1:$Y$1</c:f>
              <c:strCache>
                <c:ptCount val="2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strCache>
            </c:strRef>
          </c:cat>
          <c:val>
            <c:numRef>
              <c:f>Sheet1!$B$3:$Y$3</c:f>
              <c:numCache>
                <c:formatCode>General</c:formatCode>
                <c:ptCount val="24"/>
                <c:pt idx="0">
                  <c:v>14.93</c:v>
                </c:pt>
                <c:pt idx="1">
                  <c:v>12.92</c:v>
                </c:pt>
                <c:pt idx="2">
                  <c:v>20.05</c:v>
                </c:pt>
                <c:pt idx="3">
                  <c:v>19.84</c:v>
                </c:pt>
                <c:pt idx="4">
                  <c:v>27.44</c:v>
                </c:pt>
                <c:pt idx="5">
                  <c:v>34.67</c:v>
                </c:pt>
                <c:pt idx="6">
                  <c:v>29.92</c:v>
                </c:pt>
                <c:pt idx="7">
                  <c:v>38.090000000000003</c:v>
                </c:pt>
                <c:pt idx="8">
                  <c:v>42.17</c:v>
                </c:pt>
                <c:pt idx="9">
                  <c:v>42.36</c:v>
                </c:pt>
                <c:pt idx="10">
                  <c:v>44.4</c:v>
                </c:pt>
                <c:pt idx="11">
                  <c:v>76.05</c:v>
                </c:pt>
                <c:pt idx="12">
                  <c:v>97.5</c:v>
                </c:pt>
                <c:pt idx="13">
                  <c:v>74.040000000000006</c:v>
                </c:pt>
                <c:pt idx="14">
                  <c:v>97.76</c:v>
                </c:pt>
                <c:pt idx="15">
                  <c:v>109.81</c:v>
                </c:pt>
                <c:pt idx="16">
                  <c:v>114.94</c:v>
                </c:pt>
                <c:pt idx="17">
                  <c:v>149.88999999999999</c:v>
                </c:pt>
                <c:pt idx="18">
                  <c:v>151.15</c:v>
                </c:pt>
                <c:pt idx="19">
                  <c:v>140.49</c:v>
                </c:pt>
                <c:pt idx="20">
                  <c:v>142.12</c:v>
                </c:pt>
                <c:pt idx="21">
                  <c:v>166.88</c:v>
                </c:pt>
                <c:pt idx="22">
                  <c:v>170.07</c:v>
                </c:pt>
                <c:pt idx="23">
                  <c:v>180.54</c:v>
                </c:pt>
              </c:numCache>
            </c:numRef>
          </c:val>
          <c:smooth val="0"/>
          <c:extLst xmlns:c16r2="http://schemas.microsoft.com/office/drawing/2015/06/chart">
            <c:ext xmlns:c16="http://schemas.microsoft.com/office/drawing/2014/chart" uri="{C3380CC4-5D6E-409C-BE32-E72D297353CC}">
              <c16:uniqueId val="{00000001-8AB7-49EE-A365-FF3AB459336E}"/>
            </c:ext>
          </c:extLst>
        </c:ser>
        <c:ser>
          <c:idx val="2"/>
          <c:order val="2"/>
          <c:tx>
            <c:strRef>
              <c:f>Sheet1!$A$5</c:f>
              <c:strCache>
                <c:ptCount val="1"/>
                <c:pt idx="0">
                  <c:v>美国对中国大陆FDI</c:v>
                </c:pt>
              </c:strCache>
            </c:strRef>
          </c:tx>
          <c:marker>
            <c:symbol val="none"/>
          </c:marker>
          <c:cat>
            <c:strRef>
              <c:f>Sheet1!$B$1:$Y$1</c:f>
              <c:strCache>
                <c:ptCount val="2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strCache>
            </c:strRef>
          </c:cat>
          <c:val>
            <c:numRef>
              <c:f>Sheet1!$B$5:$Y$5</c:f>
              <c:numCache>
                <c:formatCode>General</c:formatCode>
                <c:ptCount val="24"/>
                <c:pt idx="0">
                  <c:v>111.4</c:v>
                </c:pt>
                <c:pt idx="1">
                  <c:v>120.81</c:v>
                </c:pt>
                <c:pt idx="2">
                  <c:v>105.7</c:v>
                </c:pt>
                <c:pt idx="3">
                  <c:v>112.61</c:v>
                </c:pt>
                <c:pt idx="4">
                  <c:v>176.16</c:v>
                </c:pt>
                <c:pt idx="5">
                  <c:v>190.16</c:v>
                </c:pt>
                <c:pt idx="6">
                  <c:v>264.58999999999997</c:v>
                </c:pt>
                <c:pt idx="7">
                  <c:v>297.10000000000002</c:v>
                </c:pt>
                <c:pt idx="8">
                  <c:v>539.27</c:v>
                </c:pt>
                <c:pt idx="9">
                  <c:v>540.69000000000005</c:v>
                </c:pt>
                <c:pt idx="10">
                  <c:v>589.96</c:v>
                </c:pt>
                <c:pt idx="11">
                  <c:v>536.61</c:v>
                </c:pt>
                <c:pt idx="12">
                  <c:v>545.14</c:v>
                </c:pt>
                <c:pt idx="13">
                  <c:v>604.54</c:v>
                </c:pt>
                <c:pt idx="14">
                  <c:v>822.44</c:v>
                </c:pt>
                <c:pt idx="15">
                  <c:v>921.5</c:v>
                </c:pt>
                <c:pt idx="16">
                  <c:v>974.58</c:v>
                </c:pt>
                <c:pt idx="17">
                  <c:v>1051.46</c:v>
                </c:pt>
                <c:pt idx="18">
                  <c:v>1075.57</c:v>
                </c:pt>
                <c:pt idx="19">
                  <c:v>1093.48</c:v>
                </c:pt>
                <c:pt idx="20">
                  <c:v>1165.08</c:v>
                </c:pt>
                <c:pt idx="21">
                  <c:v>1160.03</c:v>
                </c:pt>
                <c:pt idx="22">
                  <c:v>1222.05</c:v>
                </c:pt>
                <c:pt idx="23">
                  <c:v>1269.08</c:v>
                </c:pt>
              </c:numCache>
            </c:numRef>
          </c:val>
          <c:smooth val="0"/>
          <c:extLst xmlns:c16r2="http://schemas.microsoft.com/office/drawing/2015/06/chart">
            <c:ext xmlns:c16="http://schemas.microsoft.com/office/drawing/2014/chart" uri="{C3380CC4-5D6E-409C-BE32-E72D297353CC}">
              <c16:uniqueId val="{00000002-8AB7-49EE-A365-FF3AB459336E}"/>
            </c:ext>
          </c:extLst>
        </c:ser>
        <c:dLbls>
          <c:showLegendKey val="0"/>
          <c:showVal val="0"/>
          <c:showCatName val="0"/>
          <c:showSerName val="0"/>
          <c:showPercent val="0"/>
          <c:showBubbleSize val="0"/>
        </c:dLbls>
        <c:smooth val="0"/>
        <c:axId val="425546280"/>
        <c:axId val="425543928"/>
      </c:lineChart>
      <c:catAx>
        <c:axId val="425546280"/>
        <c:scaling>
          <c:orientation val="minMax"/>
        </c:scaling>
        <c:delete val="0"/>
        <c:axPos val="b"/>
        <c:numFmt formatCode="General" sourceLinked="0"/>
        <c:majorTickMark val="out"/>
        <c:minorTickMark val="none"/>
        <c:tickLblPos val="nextTo"/>
        <c:crossAx val="425543928"/>
        <c:crosses val="autoZero"/>
        <c:auto val="1"/>
        <c:lblAlgn val="ctr"/>
        <c:lblOffset val="100"/>
        <c:noMultiLvlLbl val="0"/>
      </c:catAx>
      <c:valAx>
        <c:axId val="425543928"/>
        <c:scaling>
          <c:orientation val="minMax"/>
        </c:scaling>
        <c:delete val="0"/>
        <c:axPos val="l"/>
        <c:numFmt formatCode="General" sourceLinked="1"/>
        <c:majorTickMark val="out"/>
        <c:minorTickMark val="none"/>
        <c:tickLblPos val="nextTo"/>
        <c:crossAx val="425546280"/>
        <c:crosses val="autoZero"/>
        <c:crossBetween val="between"/>
      </c:valAx>
    </c:plotArea>
    <c:legend>
      <c:legendPos val="r"/>
      <c:layout>
        <c:manualLayout>
          <c:xMode val="edge"/>
          <c:yMode val="edge"/>
          <c:x val="0.16503258980243504"/>
          <c:y val="1.8692657721402026E-2"/>
          <c:w val="0.53388565689730405"/>
          <c:h val="0.25115157480314959"/>
        </c:manualLayout>
      </c:layout>
      <c:overlay val="0"/>
    </c:legend>
    <c:plotVisOnly val="1"/>
    <c:dispBlanksAs val="gap"/>
    <c:showDLblsOverMax val="0"/>
  </c:chart>
  <c:txPr>
    <a:bodyPr/>
    <a:lstStyle/>
    <a:p>
      <a:pPr>
        <a:defRPr sz="800"/>
      </a:pPr>
      <a:endParaRPr lang="zh-CN"/>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0.01237</cdr:x>
      <cdr:y>0</cdr:y>
    </cdr:from>
    <cdr:to>
      <cdr:x>0.11485</cdr:x>
      <cdr:y>0.08029</cdr:y>
    </cdr:to>
    <cdr:sp macro="" textlink="">
      <cdr:nvSpPr>
        <cdr:cNvPr id="2" name="文本框 1"/>
        <cdr:cNvSpPr txBox="1"/>
      </cdr:nvSpPr>
      <cdr:spPr>
        <a:xfrm xmlns:a="http://schemas.openxmlformats.org/drawingml/2006/main">
          <a:off x="63374" y="0"/>
          <a:ext cx="525101" cy="2172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CN" altLang="en-US" sz="800">
              <a:latin typeface="Times New Roman" panose="02020603050405020304" pitchFamily="18" charset="0"/>
              <a:ea typeface="SimSun" panose="02010600030101010101" pitchFamily="2" charset="-122"/>
              <a:cs typeface="Times New Roman" panose="02020603050405020304" pitchFamily="18" charset="0"/>
            </a:rPr>
            <a:t>（</a:t>
          </a:r>
          <a:r>
            <a:rPr lang="en-US" altLang="zh-CN" sz="800">
              <a:latin typeface="Times New Roman" panose="02020603050405020304" pitchFamily="18" charset="0"/>
              <a:ea typeface="SimSun" panose="02010600030101010101" pitchFamily="2" charset="-122"/>
              <a:cs typeface="Times New Roman" panose="02020603050405020304" pitchFamily="18" charset="0"/>
            </a:rPr>
            <a:t>%</a:t>
          </a:r>
          <a:r>
            <a:rPr lang="zh-CN" altLang="en-US" sz="800">
              <a:latin typeface="Times New Roman" panose="02020603050405020304" pitchFamily="18" charset="0"/>
              <a:ea typeface="SimSun" panose="02010600030101010101" pitchFamily="2" charset="-122"/>
              <a:cs typeface="Times New Roman" panose="02020603050405020304" pitchFamily="18" charset="0"/>
            </a:rPr>
            <a:t>）</a:t>
          </a: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CFE4CF-2D7F-47F4-A6C8-1047D9F73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25</Pages>
  <Words>3644</Words>
  <Characters>20777</Characters>
  <Application>Microsoft Office Word</Application>
  <DocSecurity>0</DocSecurity>
  <Lines>173</Lines>
  <Paragraphs>48</Paragraphs>
  <ScaleCrop>false</ScaleCrop>
  <Company>Lenovo</Company>
  <LinksUpToDate>false</LinksUpToDate>
  <CharactersWithSpaces>24373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Winsor</dc:creator>
  <cp:keywords/>
  <dc:description/>
  <cp:lastModifiedBy>Administrator</cp:lastModifiedBy>
  <cp:revision>35</cp:revision>
  <dcterms:created xsi:type="dcterms:W3CDTF">2025-01-27T01:10:00Z</dcterms:created>
  <dcterms:modified xsi:type="dcterms:W3CDTF">2025-08-19T06:04:00Z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